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9517" w14:textId="77777777" w:rsidR="00E637E4" w:rsidRDefault="00070192">
      <w:r>
        <w:rPr>
          <w:noProof/>
          <w:lang w:eastAsia="fr-FR"/>
        </w:rPr>
        <w:drawing>
          <wp:inline distT="0" distB="0" distL="0" distR="0" wp14:anchorId="49CBA563" wp14:editId="2494A05B">
            <wp:extent cx="2423160" cy="1226820"/>
            <wp:effectExtent l="0" t="0" r="0" b="0"/>
            <wp:docPr id="3" name="Image 3" descr="https://epic-montsaintmichel.fr/wp-content/uploads/2022/04/mont-saint-michel_EPN_logotype-bleu.png"/>
            <wp:cNvGraphicFramePr/>
            <a:graphic xmlns:a="http://schemas.openxmlformats.org/drawingml/2006/main">
              <a:graphicData uri="http://schemas.openxmlformats.org/drawingml/2006/picture">
                <pic:pic xmlns:pic="http://schemas.openxmlformats.org/drawingml/2006/picture">
                  <pic:nvPicPr>
                    <pic:cNvPr id="3" name="Image 3" descr="https://epic-montsaintmichel.fr/wp-content/uploads/2022/04/mont-saint-michel_EPN_logotype-bleu.png"/>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423160" cy="1226820"/>
                    </a:xfrm>
                    <a:prstGeom prst="rect">
                      <a:avLst/>
                    </a:prstGeom>
                    <a:noFill/>
                    <a:ln>
                      <a:noFill/>
                    </a:ln>
                  </pic:spPr>
                </pic:pic>
              </a:graphicData>
            </a:graphic>
          </wp:inline>
        </w:drawing>
      </w:r>
    </w:p>
    <w:p w14:paraId="2ABB694D" w14:textId="77777777" w:rsidR="00070192" w:rsidRPr="000665C7" w:rsidRDefault="00070192">
      <w:pPr>
        <w:rPr>
          <w:rFonts w:ascii="Acumin variable" w:hAnsi="Acumin variable"/>
          <w:sz w:val="24"/>
          <w:szCs w:val="24"/>
        </w:rPr>
      </w:pPr>
    </w:p>
    <w:p w14:paraId="72C36F8F" w14:textId="77777777" w:rsidR="00070192" w:rsidRPr="000665C7" w:rsidRDefault="00070192">
      <w:pPr>
        <w:rPr>
          <w:rFonts w:ascii="Acumin variable" w:hAnsi="Acumin variable"/>
          <w:sz w:val="24"/>
          <w:szCs w:val="24"/>
        </w:rPr>
      </w:pPr>
    </w:p>
    <w:p w14:paraId="4E9BB0D1" w14:textId="77777777" w:rsidR="00070192" w:rsidRPr="000665C7" w:rsidRDefault="00070192">
      <w:pPr>
        <w:rPr>
          <w:rFonts w:ascii="Acumin variable" w:hAnsi="Acumin variable"/>
          <w:sz w:val="24"/>
          <w:szCs w:val="24"/>
        </w:rPr>
      </w:pPr>
    </w:p>
    <w:p w14:paraId="45DB231C" w14:textId="77777777" w:rsidR="00070192" w:rsidRPr="000665C7" w:rsidRDefault="00070192">
      <w:pPr>
        <w:rPr>
          <w:rFonts w:ascii="Acumin variable" w:hAnsi="Acumin variable"/>
          <w:sz w:val="24"/>
          <w:szCs w:val="24"/>
        </w:rPr>
      </w:pPr>
    </w:p>
    <w:p w14:paraId="02DEB335" w14:textId="77777777" w:rsidR="00070192" w:rsidRPr="000665C7" w:rsidRDefault="00070192">
      <w:pPr>
        <w:rPr>
          <w:rFonts w:ascii="Acumin variable" w:hAnsi="Acumin variable"/>
          <w:sz w:val="24"/>
          <w:szCs w:val="24"/>
        </w:rPr>
      </w:pPr>
    </w:p>
    <w:p w14:paraId="348D970D" w14:textId="77777777" w:rsidR="00070192" w:rsidRPr="000665C7" w:rsidRDefault="00070192">
      <w:pPr>
        <w:rPr>
          <w:rFonts w:ascii="Acumin variable" w:hAnsi="Acumin variable"/>
          <w:sz w:val="24"/>
          <w:szCs w:val="24"/>
        </w:rPr>
      </w:pPr>
    </w:p>
    <w:p w14:paraId="36E89A4D" w14:textId="77777777" w:rsidR="00070192" w:rsidRPr="000665C7" w:rsidRDefault="00070192" w:rsidP="00070192">
      <w:pPr>
        <w:jc w:val="center"/>
        <w:rPr>
          <w:rFonts w:ascii="Acumin variable" w:hAnsi="Acumin variable"/>
          <w:b/>
          <w:sz w:val="24"/>
          <w:szCs w:val="24"/>
        </w:rPr>
      </w:pPr>
      <w:r w:rsidRPr="000665C7">
        <w:rPr>
          <w:rFonts w:ascii="Acumin variable" w:hAnsi="Acumin variable"/>
          <w:b/>
          <w:sz w:val="24"/>
          <w:szCs w:val="24"/>
        </w:rPr>
        <w:t>APPEL A MANIFESTATION D’INTERET CONCURRENTE</w:t>
      </w:r>
    </w:p>
    <w:p w14:paraId="14745EE2" w14:textId="77777777" w:rsidR="00070192" w:rsidRPr="000665C7" w:rsidRDefault="00070192" w:rsidP="00070192">
      <w:pPr>
        <w:jc w:val="center"/>
        <w:rPr>
          <w:rFonts w:ascii="Acumin variable" w:hAnsi="Acumin variable"/>
          <w:b/>
          <w:sz w:val="24"/>
          <w:szCs w:val="24"/>
        </w:rPr>
      </w:pPr>
    </w:p>
    <w:p w14:paraId="4F68AE96" w14:textId="77777777" w:rsidR="00070192" w:rsidRPr="000665C7" w:rsidRDefault="00070192" w:rsidP="00070192">
      <w:pPr>
        <w:jc w:val="center"/>
        <w:rPr>
          <w:rFonts w:ascii="Acumin variable" w:hAnsi="Acumin variable"/>
          <w:b/>
          <w:sz w:val="24"/>
          <w:szCs w:val="24"/>
        </w:rPr>
      </w:pPr>
      <w:r w:rsidRPr="000665C7">
        <w:rPr>
          <w:rFonts w:ascii="Acumin variable" w:hAnsi="Acumin variable"/>
          <w:b/>
          <w:sz w:val="24"/>
          <w:szCs w:val="24"/>
        </w:rPr>
        <w:t>CAHIER DES CHARGES</w:t>
      </w:r>
    </w:p>
    <w:p w14:paraId="7DFE89F4" w14:textId="77777777" w:rsidR="00070192" w:rsidRPr="000665C7" w:rsidRDefault="00070192" w:rsidP="00070192">
      <w:pPr>
        <w:jc w:val="center"/>
        <w:rPr>
          <w:rFonts w:ascii="Acumin variable" w:hAnsi="Acumin variable"/>
          <w:b/>
          <w:sz w:val="24"/>
          <w:szCs w:val="24"/>
        </w:rPr>
      </w:pPr>
    </w:p>
    <w:p w14:paraId="28FF5133" w14:textId="481BA500" w:rsidR="00070192" w:rsidRDefault="00070192" w:rsidP="00070192">
      <w:pPr>
        <w:jc w:val="center"/>
        <w:rPr>
          <w:rFonts w:ascii="Acumin variable" w:hAnsi="Acumin variable"/>
          <w:b/>
          <w:sz w:val="24"/>
          <w:szCs w:val="24"/>
        </w:rPr>
      </w:pPr>
      <w:r w:rsidRPr="000665C7">
        <w:rPr>
          <w:rFonts w:ascii="Acumin variable" w:hAnsi="Acumin variable"/>
          <w:b/>
          <w:sz w:val="24"/>
          <w:szCs w:val="24"/>
        </w:rPr>
        <w:t>Mise en place d’infrastructures de recharge pour véhicules électriques (IRVE)</w:t>
      </w:r>
    </w:p>
    <w:p w14:paraId="561B142D" w14:textId="77777777" w:rsidR="00B95C34" w:rsidRPr="00B95C34" w:rsidRDefault="00B95C34" w:rsidP="00070192">
      <w:pPr>
        <w:jc w:val="center"/>
        <w:rPr>
          <w:rFonts w:ascii="Acumin variable" w:hAnsi="Acumin variable"/>
          <w:b/>
          <w:sz w:val="24"/>
          <w:szCs w:val="24"/>
          <w:u w:val="single"/>
        </w:rPr>
      </w:pPr>
    </w:p>
    <w:p w14:paraId="67EDED12" w14:textId="7E9D3666" w:rsidR="00B95C34" w:rsidRPr="00B95C34" w:rsidRDefault="00B95C34" w:rsidP="00070192">
      <w:pPr>
        <w:jc w:val="center"/>
        <w:rPr>
          <w:rFonts w:ascii="Acumin variable" w:hAnsi="Acumin variable"/>
          <w:b/>
          <w:sz w:val="24"/>
          <w:szCs w:val="24"/>
          <w:u w:val="single"/>
        </w:rPr>
      </w:pPr>
      <w:r w:rsidRPr="00B95C34">
        <w:rPr>
          <w:rFonts w:ascii="Acumin variable" w:hAnsi="Acumin variable"/>
          <w:b/>
          <w:sz w:val="24"/>
          <w:szCs w:val="24"/>
          <w:u w:val="single"/>
        </w:rPr>
        <w:t>Addendum n° 1</w:t>
      </w:r>
    </w:p>
    <w:p w14:paraId="65DAD93B" w14:textId="77777777" w:rsidR="00070192" w:rsidRPr="000665C7" w:rsidRDefault="00070192" w:rsidP="00070192">
      <w:pPr>
        <w:jc w:val="center"/>
        <w:rPr>
          <w:rFonts w:ascii="Acumin variable" w:hAnsi="Acumin variable"/>
          <w:b/>
          <w:sz w:val="24"/>
          <w:szCs w:val="24"/>
        </w:rPr>
      </w:pPr>
    </w:p>
    <w:p w14:paraId="17CCA61F" w14:textId="77777777" w:rsidR="00070192" w:rsidRPr="000665C7" w:rsidRDefault="00070192" w:rsidP="00070192">
      <w:pPr>
        <w:jc w:val="center"/>
        <w:rPr>
          <w:rFonts w:ascii="Acumin variable" w:hAnsi="Acumin variable"/>
          <w:b/>
          <w:sz w:val="24"/>
          <w:szCs w:val="24"/>
        </w:rPr>
      </w:pPr>
    </w:p>
    <w:p w14:paraId="210DA624" w14:textId="77777777" w:rsidR="00070192" w:rsidRPr="000665C7" w:rsidRDefault="00070192" w:rsidP="00070192">
      <w:pPr>
        <w:jc w:val="center"/>
        <w:rPr>
          <w:rFonts w:ascii="Acumin variable" w:hAnsi="Acumin variable"/>
          <w:b/>
          <w:sz w:val="24"/>
          <w:szCs w:val="24"/>
        </w:rPr>
      </w:pPr>
    </w:p>
    <w:p w14:paraId="23AB735E" w14:textId="77777777" w:rsidR="00070192" w:rsidRPr="000665C7" w:rsidRDefault="00070192" w:rsidP="00070192">
      <w:pPr>
        <w:jc w:val="center"/>
        <w:rPr>
          <w:rFonts w:ascii="Acumin variable" w:hAnsi="Acumin variable"/>
          <w:b/>
          <w:sz w:val="24"/>
          <w:szCs w:val="24"/>
        </w:rPr>
      </w:pPr>
    </w:p>
    <w:p w14:paraId="0375B126" w14:textId="77777777" w:rsidR="00070192" w:rsidRPr="000665C7" w:rsidRDefault="00070192" w:rsidP="00070192">
      <w:pPr>
        <w:jc w:val="center"/>
        <w:rPr>
          <w:rFonts w:ascii="Acumin variable" w:hAnsi="Acumin variable"/>
          <w:b/>
          <w:sz w:val="24"/>
          <w:szCs w:val="24"/>
        </w:rPr>
      </w:pPr>
    </w:p>
    <w:p w14:paraId="0341C2CB" w14:textId="77777777" w:rsidR="00455364" w:rsidRPr="000665C7" w:rsidRDefault="00455364">
      <w:pPr>
        <w:rPr>
          <w:rFonts w:ascii="Acumin variable" w:hAnsi="Acumin variable"/>
          <w:sz w:val="24"/>
          <w:szCs w:val="24"/>
        </w:rPr>
      </w:pPr>
    </w:p>
    <w:p w14:paraId="0CDA9AA7" w14:textId="77777777" w:rsidR="00455364" w:rsidRPr="000665C7" w:rsidRDefault="00455364">
      <w:pPr>
        <w:rPr>
          <w:rFonts w:ascii="Acumin variable" w:hAnsi="Acumin variable"/>
          <w:sz w:val="24"/>
          <w:szCs w:val="24"/>
        </w:rPr>
      </w:pPr>
    </w:p>
    <w:p w14:paraId="53295370" w14:textId="3EE32CFC" w:rsidR="00A135DF" w:rsidRDefault="00A135DF">
      <w:pPr>
        <w:rPr>
          <w:rFonts w:ascii="Acumin variable" w:hAnsi="Acumin variable"/>
          <w:sz w:val="24"/>
          <w:szCs w:val="24"/>
        </w:rPr>
      </w:pPr>
      <w:r>
        <w:rPr>
          <w:rFonts w:ascii="Acumin variable" w:hAnsi="Acumin variable"/>
          <w:sz w:val="24"/>
          <w:szCs w:val="24"/>
        </w:rPr>
        <w:br w:type="page"/>
      </w:r>
    </w:p>
    <w:p w14:paraId="4514CE49" w14:textId="0BC1039E" w:rsidR="00086CB2" w:rsidRDefault="00086CB2">
      <w:pPr>
        <w:rPr>
          <w:rFonts w:ascii="Acumin variable" w:hAnsi="Acumin variable"/>
          <w:i/>
          <w:iCs/>
          <w:sz w:val="24"/>
          <w:szCs w:val="24"/>
        </w:rPr>
      </w:pPr>
      <w:r w:rsidRPr="00086CB2">
        <w:rPr>
          <w:rFonts w:ascii="Acumin variable" w:hAnsi="Acumin variable"/>
          <w:i/>
          <w:iCs/>
          <w:sz w:val="24"/>
          <w:szCs w:val="24"/>
        </w:rPr>
        <w:lastRenderedPageBreak/>
        <w:t>Suite aux questions de plusieurs candidats, les informations complémentaires suivantes vous sont communiquées.</w:t>
      </w:r>
    </w:p>
    <w:p w14:paraId="11B3335A" w14:textId="04BAEF7A" w:rsidR="00A135DF" w:rsidRPr="00A135DF" w:rsidRDefault="00A135DF" w:rsidP="003926E6">
      <w:pPr>
        <w:spacing w:before="100" w:beforeAutospacing="1" w:after="120" w:line="240" w:lineRule="auto"/>
        <w:jc w:val="both"/>
        <w:rPr>
          <w:rFonts w:ascii="Acumin variable pro" w:hAnsi="Acumin variable pro"/>
          <w:sz w:val="24"/>
          <w:szCs w:val="24"/>
        </w:rPr>
      </w:pPr>
      <w:r w:rsidRPr="00A135DF">
        <w:rPr>
          <w:rFonts w:ascii="Acumin variable pro" w:hAnsi="Acumin variable pro"/>
          <w:sz w:val="24"/>
          <w:szCs w:val="24"/>
        </w:rPr>
        <w:t>-        Il est spécifié dans le cahier des charges qu’</w:t>
      </w:r>
      <w:r w:rsidRPr="00A135DF">
        <w:rPr>
          <w:rFonts w:ascii="Acumin variable pro" w:hAnsi="Acumin variable pro"/>
          <w:i/>
          <w:iCs/>
          <w:sz w:val="24"/>
          <w:szCs w:val="24"/>
        </w:rPr>
        <w:t>«</w:t>
      </w:r>
      <w:r w:rsidR="003926E6">
        <w:rPr>
          <w:rFonts w:ascii="Acumin variable pro" w:hAnsi="Acumin variable pro"/>
          <w:i/>
          <w:iCs/>
          <w:sz w:val="24"/>
          <w:szCs w:val="24"/>
        </w:rPr>
        <w:t xml:space="preserve"> </w:t>
      </w:r>
      <w:r w:rsidRPr="00A135DF">
        <w:rPr>
          <w:rFonts w:ascii="Acumin variable pro" w:hAnsi="Acumin variable pro"/>
          <w:i/>
          <w:iCs/>
          <w:sz w:val="24"/>
          <w:szCs w:val="24"/>
        </w:rPr>
        <w:t>une étude est en cours actuellement pour définir le coût de la mise en place d’un point de livraison (HTA/BT) dans l’environnement immédiat des parkings boisés »</w:t>
      </w:r>
      <w:r w:rsidRPr="00A135DF">
        <w:rPr>
          <w:rFonts w:ascii="Acumin variable pro" w:hAnsi="Acumin variable pro"/>
          <w:sz w:val="24"/>
          <w:szCs w:val="24"/>
        </w:rPr>
        <w:t>, de quelle puissance sera ce point de livraison (HTA/BT) ?</w:t>
      </w:r>
    </w:p>
    <w:p w14:paraId="22C5C99B" w14:textId="2CDE3504" w:rsidR="00A135DF" w:rsidRDefault="00A135DF" w:rsidP="003926E6">
      <w:pPr>
        <w:spacing w:before="120" w:after="100" w:afterAutospacing="1" w:line="240" w:lineRule="auto"/>
        <w:ind w:firstLine="709"/>
        <w:jc w:val="both"/>
        <w:rPr>
          <w:rFonts w:ascii="Acumin variable pro" w:hAnsi="Acumin variable pro"/>
          <w:color w:val="1F497D"/>
          <w:sz w:val="24"/>
          <w:szCs w:val="24"/>
        </w:rPr>
      </w:pPr>
      <w:r w:rsidRPr="00A135DF">
        <w:rPr>
          <w:rFonts w:ascii="Acumin variable pro" w:hAnsi="Acumin variable pro"/>
          <w:color w:val="1F497D"/>
          <w:sz w:val="24"/>
          <w:szCs w:val="24"/>
        </w:rPr>
        <w:t>Le point de livraison sera de 5000 kVA</w:t>
      </w:r>
      <w:r w:rsidR="003926E6">
        <w:rPr>
          <w:rFonts w:ascii="Acumin variable pro" w:hAnsi="Acumin variable pro"/>
          <w:color w:val="1F497D"/>
          <w:sz w:val="24"/>
          <w:szCs w:val="24"/>
        </w:rPr>
        <w:t>.</w:t>
      </w:r>
    </w:p>
    <w:p w14:paraId="18D404D8" w14:textId="77777777" w:rsidR="00A135DF" w:rsidRPr="00A135DF" w:rsidRDefault="00A135DF" w:rsidP="003926E6">
      <w:pPr>
        <w:spacing w:before="100" w:beforeAutospacing="1" w:after="120" w:line="240" w:lineRule="auto"/>
        <w:jc w:val="both"/>
        <w:rPr>
          <w:rFonts w:ascii="Acumin variable pro" w:hAnsi="Acumin variable pro"/>
          <w:sz w:val="24"/>
          <w:szCs w:val="24"/>
        </w:rPr>
      </w:pPr>
      <w:r w:rsidRPr="00A135DF">
        <w:rPr>
          <w:rFonts w:ascii="Acumin variable pro" w:hAnsi="Acumin variable pro"/>
          <w:sz w:val="24"/>
          <w:szCs w:val="24"/>
        </w:rPr>
        <w:t xml:space="preserve">-        Les coûts liés à la création, l’installation </w:t>
      </w:r>
      <w:proofErr w:type="spellStart"/>
      <w:r w:rsidRPr="00A135DF">
        <w:rPr>
          <w:rFonts w:ascii="Acumin variable pro" w:hAnsi="Acumin variable pro"/>
          <w:sz w:val="24"/>
          <w:szCs w:val="24"/>
        </w:rPr>
        <w:t>etc</w:t>
      </w:r>
      <w:proofErr w:type="spellEnd"/>
      <w:r w:rsidRPr="00A135DF">
        <w:rPr>
          <w:rFonts w:ascii="Acumin variable pro" w:hAnsi="Acumin variable pro"/>
          <w:sz w:val="24"/>
          <w:szCs w:val="24"/>
        </w:rPr>
        <w:t xml:space="preserve"> de ce point de livraison (HTA/BT) doivent-ils être supportés par l’opérateur vainqueur de l’AMI ?</w:t>
      </w:r>
    </w:p>
    <w:p w14:paraId="18CA9B87" w14:textId="295C2042" w:rsidR="00A135DF" w:rsidRDefault="00A135DF" w:rsidP="003926E6">
      <w:pPr>
        <w:spacing w:before="120" w:after="100" w:afterAutospacing="1" w:line="240" w:lineRule="auto"/>
        <w:ind w:firstLine="709"/>
        <w:jc w:val="both"/>
        <w:rPr>
          <w:rFonts w:ascii="Acumin variable pro" w:hAnsi="Acumin variable pro"/>
          <w:color w:val="1F497D"/>
          <w:sz w:val="24"/>
          <w:szCs w:val="24"/>
        </w:rPr>
      </w:pPr>
      <w:r w:rsidRPr="00A135DF">
        <w:rPr>
          <w:rFonts w:ascii="Acumin variable pro" w:hAnsi="Acumin variable pro"/>
          <w:color w:val="1F497D"/>
          <w:sz w:val="24"/>
          <w:szCs w:val="24"/>
        </w:rPr>
        <w:t>Pouvez-vous étudier les 2 options : Prise en charge par l’opérateur ou prise en charge par le maître d’ouvrage. Le coût de ce PDL selo</w:t>
      </w:r>
      <w:r w:rsidR="00300996">
        <w:rPr>
          <w:rFonts w:ascii="Acumin variable pro" w:hAnsi="Acumin variable pro"/>
          <w:color w:val="1F497D"/>
          <w:sz w:val="24"/>
          <w:szCs w:val="24"/>
        </w:rPr>
        <w:t>n devis Enedis est de 41</w:t>
      </w:r>
      <w:r w:rsidR="00ED1FCE">
        <w:rPr>
          <w:rFonts w:ascii="Acumin variable pro" w:hAnsi="Acumin variable pro"/>
          <w:color w:val="1F497D"/>
          <w:sz w:val="24"/>
          <w:szCs w:val="24"/>
        </w:rPr>
        <w:t> </w:t>
      </w:r>
      <w:r w:rsidR="00300996">
        <w:rPr>
          <w:rFonts w:ascii="Acumin variable pro" w:hAnsi="Acumin variable pro"/>
          <w:color w:val="1F497D"/>
          <w:sz w:val="24"/>
          <w:szCs w:val="24"/>
        </w:rPr>
        <w:t>000</w:t>
      </w:r>
      <w:r w:rsidR="00ED1FCE">
        <w:rPr>
          <w:rFonts w:ascii="Acumin variable pro" w:hAnsi="Acumin variable pro"/>
          <w:color w:val="1F497D"/>
          <w:sz w:val="24"/>
          <w:szCs w:val="24"/>
        </w:rPr>
        <w:t xml:space="preserve"> </w:t>
      </w:r>
      <w:r w:rsidR="00300996">
        <w:rPr>
          <w:rFonts w:ascii="Acumin variable pro" w:hAnsi="Acumin variable pro"/>
          <w:color w:val="1F497D"/>
          <w:sz w:val="24"/>
          <w:szCs w:val="24"/>
        </w:rPr>
        <w:t>€ TTC</w:t>
      </w:r>
      <w:r w:rsidR="003926E6">
        <w:rPr>
          <w:rFonts w:ascii="Acumin variable pro" w:hAnsi="Acumin variable pro"/>
          <w:color w:val="1F497D"/>
          <w:sz w:val="24"/>
          <w:szCs w:val="24"/>
        </w:rPr>
        <w:t>.</w:t>
      </w:r>
    </w:p>
    <w:p w14:paraId="2FBD4157" w14:textId="77777777" w:rsidR="00A135DF" w:rsidRPr="00A135DF" w:rsidRDefault="00A135DF" w:rsidP="003926E6">
      <w:pPr>
        <w:spacing w:before="100" w:beforeAutospacing="1" w:after="120" w:line="240" w:lineRule="auto"/>
        <w:jc w:val="both"/>
        <w:rPr>
          <w:rFonts w:ascii="Acumin variable pro" w:hAnsi="Acumin variable pro"/>
          <w:sz w:val="24"/>
          <w:szCs w:val="24"/>
        </w:rPr>
      </w:pPr>
      <w:r w:rsidRPr="00A135DF">
        <w:rPr>
          <w:rFonts w:ascii="Acumin variable pro" w:hAnsi="Acumin variable pro"/>
          <w:sz w:val="24"/>
          <w:szCs w:val="24"/>
        </w:rPr>
        <w:t>-        Pouvez-vous nous communiquer la localisation de ce nouveau point de livraison (HTA/BT) ?</w:t>
      </w:r>
    </w:p>
    <w:p w14:paraId="099D96B5" w14:textId="77777777" w:rsidR="003926E6" w:rsidRDefault="00A135DF" w:rsidP="003926E6">
      <w:pPr>
        <w:spacing w:before="120" w:after="100" w:afterAutospacing="1" w:line="240" w:lineRule="auto"/>
        <w:ind w:firstLine="709"/>
        <w:jc w:val="both"/>
        <w:rPr>
          <w:rFonts w:ascii="Acumin variable pro" w:hAnsi="Acumin variable pro"/>
          <w:color w:val="1F497D"/>
          <w:sz w:val="24"/>
          <w:szCs w:val="24"/>
        </w:rPr>
      </w:pPr>
      <w:r w:rsidRPr="00A135DF">
        <w:rPr>
          <w:rFonts w:ascii="Acumin variable pro" w:hAnsi="Acumin variable pro"/>
          <w:color w:val="1F497D"/>
          <w:sz w:val="24"/>
          <w:szCs w:val="24"/>
        </w:rPr>
        <w:t>Nous proposons une localisation dans la noue entre le P7 et le P7bis.</w:t>
      </w:r>
    </w:p>
    <w:p w14:paraId="7F1723B8" w14:textId="3DD11ADE" w:rsidR="00A135DF" w:rsidRPr="003926E6" w:rsidRDefault="00A135DF" w:rsidP="003926E6">
      <w:pPr>
        <w:pStyle w:val="Paragraphedeliste"/>
        <w:numPr>
          <w:ilvl w:val="0"/>
          <w:numId w:val="9"/>
        </w:numPr>
        <w:spacing w:before="100" w:beforeAutospacing="1" w:after="120" w:line="240" w:lineRule="auto"/>
        <w:ind w:left="0" w:firstLine="0"/>
        <w:jc w:val="both"/>
        <w:rPr>
          <w:rFonts w:ascii="Acumin variable pro" w:hAnsi="Acumin variable pro"/>
          <w:sz w:val="24"/>
          <w:szCs w:val="24"/>
        </w:rPr>
      </w:pPr>
      <w:r w:rsidRPr="003926E6">
        <w:rPr>
          <w:rFonts w:ascii="Acumin variable pro" w:hAnsi="Acumin variable pro"/>
          <w:sz w:val="24"/>
          <w:szCs w:val="24"/>
        </w:rPr>
        <w:t>Avez-vous des données par rapport à la fréquentation du Mont Saint-Michel tout au long de l'année</w:t>
      </w:r>
      <w:r w:rsidR="003926E6" w:rsidRPr="003926E6">
        <w:rPr>
          <w:rFonts w:ascii="Acumin variable pro" w:hAnsi="Acumin variable pro"/>
          <w:sz w:val="24"/>
          <w:szCs w:val="24"/>
        </w:rPr>
        <w:t>,</w:t>
      </w:r>
      <w:r w:rsidRPr="003926E6">
        <w:rPr>
          <w:rFonts w:ascii="Acumin variable pro" w:hAnsi="Acumin variable pro"/>
          <w:sz w:val="24"/>
          <w:szCs w:val="24"/>
        </w:rPr>
        <w:t xml:space="preserve"> </w:t>
      </w:r>
      <w:r w:rsidR="003926E6" w:rsidRPr="003926E6">
        <w:rPr>
          <w:rFonts w:ascii="Acumin variable pro" w:hAnsi="Acumin variable pro"/>
          <w:sz w:val="24"/>
          <w:szCs w:val="24"/>
        </w:rPr>
        <w:t>p</w:t>
      </w:r>
      <w:r w:rsidRPr="003926E6">
        <w:rPr>
          <w:rFonts w:ascii="Acumin variable pro" w:hAnsi="Acumin variable pro"/>
          <w:sz w:val="24"/>
          <w:szCs w:val="24"/>
        </w:rPr>
        <w:t>ar exemple</w:t>
      </w:r>
      <w:r w:rsidR="003926E6" w:rsidRPr="003926E6">
        <w:rPr>
          <w:rFonts w:ascii="Acumin variable pro" w:hAnsi="Acumin variable pro"/>
          <w:sz w:val="24"/>
          <w:szCs w:val="24"/>
        </w:rPr>
        <w:t>,</w:t>
      </w:r>
      <w:r w:rsidRPr="003926E6">
        <w:rPr>
          <w:rFonts w:ascii="Acumin variable pro" w:hAnsi="Acumin variable pro"/>
          <w:sz w:val="24"/>
          <w:szCs w:val="24"/>
        </w:rPr>
        <w:t xml:space="preserve"> en fonction de la répartition fait par votre gestionnaire de parking (Basse saison, Moyenne saison, Haute saison)</w:t>
      </w:r>
      <w:r w:rsidR="003926E6" w:rsidRPr="003926E6">
        <w:rPr>
          <w:rFonts w:ascii="Acumin variable pro" w:hAnsi="Acumin variable pro"/>
          <w:sz w:val="24"/>
          <w:szCs w:val="24"/>
        </w:rPr>
        <w:t> ?</w:t>
      </w:r>
    </w:p>
    <w:p w14:paraId="7ABEF32C" w14:textId="77777777" w:rsidR="00A135DF" w:rsidRPr="00A135DF" w:rsidRDefault="00A135DF" w:rsidP="003926E6">
      <w:pPr>
        <w:spacing w:before="120" w:line="240" w:lineRule="auto"/>
        <w:ind w:firstLine="709"/>
        <w:jc w:val="both"/>
        <w:rPr>
          <w:rFonts w:ascii="Acumin variable pro" w:hAnsi="Acumin variable pro"/>
          <w:color w:val="1F497D"/>
          <w:sz w:val="24"/>
          <w:szCs w:val="24"/>
        </w:rPr>
      </w:pPr>
      <w:r w:rsidRPr="00A135DF">
        <w:rPr>
          <w:rFonts w:ascii="Acumin variable pro" w:hAnsi="Acumin variable pro"/>
          <w:color w:val="1F497D"/>
          <w:sz w:val="24"/>
          <w:szCs w:val="24"/>
        </w:rPr>
        <w:t>Voici les répartitions mensuelles 2019 et 2022 des fréquentations :</w:t>
      </w:r>
    </w:p>
    <w:tbl>
      <w:tblPr>
        <w:tblW w:w="482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1240"/>
        <w:gridCol w:w="1737"/>
        <w:gridCol w:w="1843"/>
      </w:tblGrid>
      <w:tr w:rsidR="00A135DF" w:rsidRPr="00A135DF" w14:paraId="3351B5EB" w14:textId="77777777" w:rsidTr="00BD28A3">
        <w:trPr>
          <w:trHeight w:val="288"/>
          <w:jc w:val="center"/>
        </w:trPr>
        <w:tc>
          <w:tcPr>
            <w:tcW w:w="1240" w:type="dxa"/>
            <w:noWrap/>
            <w:tcMar>
              <w:top w:w="0" w:type="dxa"/>
              <w:left w:w="70" w:type="dxa"/>
              <w:bottom w:w="0" w:type="dxa"/>
              <w:right w:w="70" w:type="dxa"/>
            </w:tcMar>
            <w:vAlign w:val="bottom"/>
            <w:hideMark/>
          </w:tcPr>
          <w:p w14:paraId="7CCBCC26" w14:textId="77777777" w:rsidR="00A135DF" w:rsidRPr="00A135DF" w:rsidRDefault="00A135DF" w:rsidP="00A135DF">
            <w:pPr>
              <w:rPr>
                <w:rFonts w:ascii="Acumin variable pro" w:hAnsi="Acumin variable pro"/>
                <w:color w:val="1F497D"/>
                <w:sz w:val="24"/>
                <w:szCs w:val="24"/>
              </w:rPr>
            </w:pPr>
          </w:p>
        </w:tc>
        <w:tc>
          <w:tcPr>
            <w:tcW w:w="1737" w:type="dxa"/>
            <w:shd w:val="clear" w:color="auto" w:fill="1B2443"/>
            <w:noWrap/>
            <w:tcMar>
              <w:top w:w="0" w:type="dxa"/>
              <w:left w:w="70" w:type="dxa"/>
              <w:bottom w:w="0" w:type="dxa"/>
              <w:right w:w="70" w:type="dxa"/>
            </w:tcMar>
            <w:vAlign w:val="bottom"/>
            <w:hideMark/>
          </w:tcPr>
          <w:p w14:paraId="3163C757" w14:textId="77777777" w:rsidR="00A135DF" w:rsidRPr="00BD28A3" w:rsidRDefault="00A135DF" w:rsidP="00A135DF">
            <w:pPr>
              <w:jc w:val="center"/>
              <w:rPr>
                <w:rFonts w:ascii="Acumin variable pro" w:hAnsi="Acumin variable pro" w:cs="Calibri"/>
                <w:b/>
                <w:bCs/>
                <w:color w:val="FFFFFF" w:themeColor="background1"/>
                <w:sz w:val="24"/>
                <w:szCs w:val="24"/>
              </w:rPr>
            </w:pPr>
            <w:r w:rsidRPr="00BD28A3">
              <w:rPr>
                <w:rFonts w:ascii="Acumin variable pro" w:hAnsi="Acumin variable pro"/>
                <w:b/>
                <w:bCs/>
                <w:color w:val="FFFFFF" w:themeColor="background1"/>
                <w:sz w:val="24"/>
                <w:szCs w:val="24"/>
              </w:rPr>
              <w:t>2019</w:t>
            </w:r>
          </w:p>
        </w:tc>
        <w:tc>
          <w:tcPr>
            <w:tcW w:w="1843" w:type="dxa"/>
            <w:shd w:val="clear" w:color="auto" w:fill="1B2443"/>
            <w:noWrap/>
            <w:tcMar>
              <w:top w:w="0" w:type="dxa"/>
              <w:left w:w="70" w:type="dxa"/>
              <w:bottom w:w="0" w:type="dxa"/>
              <w:right w:w="70" w:type="dxa"/>
            </w:tcMar>
            <w:vAlign w:val="bottom"/>
            <w:hideMark/>
          </w:tcPr>
          <w:p w14:paraId="5BE3200F" w14:textId="77777777" w:rsidR="00A135DF" w:rsidRPr="00BD28A3" w:rsidRDefault="00A135DF" w:rsidP="00A135DF">
            <w:pPr>
              <w:jc w:val="center"/>
              <w:rPr>
                <w:rFonts w:ascii="Acumin variable pro" w:hAnsi="Acumin variable pro"/>
                <w:b/>
                <w:bCs/>
                <w:color w:val="FFFFFF" w:themeColor="background1"/>
                <w:sz w:val="24"/>
                <w:szCs w:val="24"/>
              </w:rPr>
            </w:pPr>
            <w:r w:rsidRPr="00BD28A3">
              <w:rPr>
                <w:rFonts w:ascii="Acumin variable pro" w:hAnsi="Acumin variable pro"/>
                <w:b/>
                <w:bCs/>
                <w:color w:val="FFFFFF" w:themeColor="background1"/>
                <w:sz w:val="24"/>
                <w:szCs w:val="24"/>
              </w:rPr>
              <w:t>2022</w:t>
            </w:r>
          </w:p>
        </w:tc>
      </w:tr>
      <w:tr w:rsidR="00A135DF" w:rsidRPr="00A135DF" w14:paraId="4B1B90EC" w14:textId="77777777" w:rsidTr="00BD28A3">
        <w:trPr>
          <w:trHeight w:val="410"/>
          <w:jc w:val="center"/>
        </w:trPr>
        <w:tc>
          <w:tcPr>
            <w:tcW w:w="1240" w:type="dxa"/>
            <w:noWrap/>
            <w:tcMar>
              <w:top w:w="0" w:type="dxa"/>
              <w:left w:w="70" w:type="dxa"/>
              <w:bottom w:w="0" w:type="dxa"/>
              <w:right w:w="70" w:type="dxa"/>
            </w:tcMar>
            <w:vAlign w:val="bottom"/>
            <w:hideMark/>
          </w:tcPr>
          <w:p w14:paraId="60BCC35F" w14:textId="77777777" w:rsidR="00A135DF" w:rsidRPr="00A135DF" w:rsidRDefault="00A135DF" w:rsidP="00A135DF">
            <w:pPr>
              <w:rPr>
                <w:rFonts w:ascii="Acumin variable pro" w:hAnsi="Acumin variable pro"/>
                <w:b/>
                <w:bCs/>
                <w:color w:val="000000"/>
                <w:sz w:val="24"/>
                <w:szCs w:val="24"/>
              </w:rPr>
            </w:pPr>
          </w:p>
        </w:tc>
        <w:tc>
          <w:tcPr>
            <w:tcW w:w="3580" w:type="dxa"/>
            <w:gridSpan w:val="2"/>
            <w:shd w:val="clear" w:color="auto" w:fill="1B2443"/>
            <w:noWrap/>
            <w:tcMar>
              <w:top w:w="0" w:type="dxa"/>
              <w:left w:w="70" w:type="dxa"/>
              <w:bottom w:w="0" w:type="dxa"/>
              <w:right w:w="70" w:type="dxa"/>
            </w:tcMar>
            <w:vAlign w:val="bottom"/>
            <w:hideMark/>
          </w:tcPr>
          <w:p w14:paraId="44A00CE5" w14:textId="77777777" w:rsidR="00A135DF" w:rsidRPr="00BD28A3" w:rsidRDefault="00A135DF" w:rsidP="00A135DF">
            <w:pPr>
              <w:jc w:val="center"/>
              <w:rPr>
                <w:rFonts w:ascii="Acumin variable pro" w:hAnsi="Acumin variable pro" w:cs="Calibri"/>
                <w:b/>
                <w:bCs/>
                <w:color w:val="FFFFFF" w:themeColor="background1"/>
                <w:sz w:val="24"/>
                <w:szCs w:val="24"/>
              </w:rPr>
            </w:pPr>
            <w:r w:rsidRPr="00BD28A3">
              <w:rPr>
                <w:rFonts w:ascii="Acumin variable pro" w:hAnsi="Acumin variable pro"/>
                <w:b/>
                <w:bCs/>
                <w:color w:val="FFFFFF" w:themeColor="background1"/>
                <w:sz w:val="24"/>
                <w:szCs w:val="24"/>
              </w:rPr>
              <w:t>VL</w:t>
            </w:r>
          </w:p>
        </w:tc>
      </w:tr>
      <w:tr w:rsidR="00A135DF" w:rsidRPr="00A135DF" w14:paraId="1513B0CF" w14:textId="77777777" w:rsidTr="00BD28A3">
        <w:trPr>
          <w:trHeight w:val="288"/>
          <w:jc w:val="center"/>
        </w:trPr>
        <w:tc>
          <w:tcPr>
            <w:tcW w:w="1240" w:type="dxa"/>
            <w:shd w:val="clear" w:color="auto" w:fill="F2F2F2" w:themeFill="background1" w:themeFillShade="F2"/>
            <w:noWrap/>
            <w:tcMar>
              <w:top w:w="0" w:type="dxa"/>
              <w:left w:w="70" w:type="dxa"/>
              <w:bottom w:w="0" w:type="dxa"/>
              <w:right w:w="70" w:type="dxa"/>
            </w:tcMar>
            <w:vAlign w:val="bottom"/>
            <w:hideMark/>
          </w:tcPr>
          <w:p w14:paraId="7B937E81" w14:textId="77777777" w:rsidR="00A135DF" w:rsidRPr="00A135DF" w:rsidRDefault="00A135DF" w:rsidP="00A135DF">
            <w:pPr>
              <w:jc w:val="center"/>
              <w:rPr>
                <w:rFonts w:ascii="Acumin variable pro" w:hAnsi="Acumin variable pro"/>
                <w:b/>
                <w:bCs/>
                <w:color w:val="000000"/>
                <w:sz w:val="24"/>
                <w:szCs w:val="24"/>
              </w:rPr>
            </w:pPr>
            <w:proofErr w:type="spellStart"/>
            <w:r w:rsidRPr="00A135DF">
              <w:rPr>
                <w:rFonts w:ascii="Acumin variable pro" w:hAnsi="Acumin variable pro"/>
                <w:b/>
                <w:bCs/>
                <w:color w:val="000000"/>
                <w:sz w:val="24"/>
                <w:szCs w:val="24"/>
              </w:rPr>
              <w:t>janv</w:t>
            </w:r>
            <w:proofErr w:type="spellEnd"/>
          </w:p>
        </w:tc>
        <w:tc>
          <w:tcPr>
            <w:tcW w:w="1737" w:type="dxa"/>
            <w:shd w:val="clear" w:color="auto" w:fill="F2F2F2" w:themeFill="background1" w:themeFillShade="F2"/>
            <w:noWrap/>
            <w:tcMar>
              <w:top w:w="0" w:type="dxa"/>
              <w:left w:w="70" w:type="dxa"/>
              <w:bottom w:w="0" w:type="dxa"/>
              <w:right w:w="70" w:type="dxa"/>
            </w:tcMar>
            <w:vAlign w:val="bottom"/>
            <w:hideMark/>
          </w:tcPr>
          <w:p w14:paraId="646913B9" w14:textId="77777777"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13 016</w:t>
            </w:r>
          </w:p>
        </w:tc>
        <w:tc>
          <w:tcPr>
            <w:tcW w:w="1843" w:type="dxa"/>
            <w:shd w:val="clear" w:color="auto" w:fill="F2F2F2" w:themeFill="background1" w:themeFillShade="F2"/>
            <w:noWrap/>
            <w:tcMar>
              <w:top w:w="0" w:type="dxa"/>
              <w:left w:w="70" w:type="dxa"/>
              <w:bottom w:w="0" w:type="dxa"/>
              <w:right w:w="70" w:type="dxa"/>
            </w:tcMar>
            <w:vAlign w:val="bottom"/>
            <w:hideMark/>
          </w:tcPr>
          <w:p w14:paraId="2E267999" w14:textId="1159044D"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14 356</w:t>
            </w:r>
          </w:p>
        </w:tc>
      </w:tr>
      <w:tr w:rsidR="00A135DF" w:rsidRPr="00A135DF" w14:paraId="265E30AD" w14:textId="77777777" w:rsidTr="00BD28A3">
        <w:trPr>
          <w:trHeight w:val="288"/>
          <w:jc w:val="center"/>
        </w:trPr>
        <w:tc>
          <w:tcPr>
            <w:tcW w:w="1240" w:type="dxa"/>
            <w:shd w:val="clear" w:color="auto" w:fill="F2F2F2" w:themeFill="background1" w:themeFillShade="F2"/>
            <w:noWrap/>
            <w:tcMar>
              <w:top w:w="0" w:type="dxa"/>
              <w:left w:w="70" w:type="dxa"/>
              <w:bottom w:w="0" w:type="dxa"/>
              <w:right w:w="70" w:type="dxa"/>
            </w:tcMar>
            <w:vAlign w:val="bottom"/>
            <w:hideMark/>
          </w:tcPr>
          <w:p w14:paraId="2F72C0F4" w14:textId="77777777" w:rsidR="00A135DF" w:rsidRPr="00A135DF" w:rsidRDefault="00A135DF" w:rsidP="00A135DF">
            <w:pPr>
              <w:jc w:val="center"/>
              <w:rPr>
                <w:rFonts w:ascii="Acumin variable pro" w:hAnsi="Acumin variable pro"/>
                <w:b/>
                <w:bCs/>
                <w:color w:val="000000"/>
                <w:sz w:val="24"/>
                <w:szCs w:val="24"/>
              </w:rPr>
            </w:pPr>
            <w:proofErr w:type="spellStart"/>
            <w:r w:rsidRPr="00A135DF">
              <w:rPr>
                <w:rFonts w:ascii="Acumin variable pro" w:hAnsi="Acumin variable pro"/>
                <w:b/>
                <w:bCs/>
                <w:color w:val="000000"/>
                <w:sz w:val="24"/>
                <w:szCs w:val="24"/>
              </w:rPr>
              <w:t>fev</w:t>
            </w:r>
            <w:proofErr w:type="spellEnd"/>
          </w:p>
        </w:tc>
        <w:tc>
          <w:tcPr>
            <w:tcW w:w="1737" w:type="dxa"/>
            <w:shd w:val="clear" w:color="auto" w:fill="F2F2F2" w:themeFill="background1" w:themeFillShade="F2"/>
            <w:noWrap/>
            <w:tcMar>
              <w:top w:w="0" w:type="dxa"/>
              <w:left w:w="70" w:type="dxa"/>
              <w:bottom w:w="0" w:type="dxa"/>
              <w:right w:w="70" w:type="dxa"/>
            </w:tcMar>
            <w:vAlign w:val="bottom"/>
            <w:hideMark/>
          </w:tcPr>
          <w:p w14:paraId="60611C9E" w14:textId="77777777"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25 186</w:t>
            </w:r>
          </w:p>
        </w:tc>
        <w:tc>
          <w:tcPr>
            <w:tcW w:w="1843" w:type="dxa"/>
            <w:shd w:val="clear" w:color="auto" w:fill="F2F2F2" w:themeFill="background1" w:themeFillShade="F2"/>
            <w:noWrap/>
            <w:tcMar>
              <w:top w:w="0" w:type="dxa"/>
              <w:left w:w="70" w:type="dxa"/>
              <w:bottom w:w="0" w:type="dxa"/>
              <w:right w:w="70" w:type="dxa"/>
            </w:tcMar>
            <w:vAlign w:val="bottom"/>
            <w:hideMark/>
          </w:tcPr>
          <w:p w14:paraId="0893BA49" w14:textId="5E3161B1"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27 811</w:t>
            </w:r>
          </w:p>
        </w:tc>
      </w:tr>
      <w:tr w:rsidR="00A135DF" w:rsidRPr="00A135DF" w14:paraId="2BBC41AF" w14:textId="77777777" w:rsidTr="00BD28A3">
        <w:trPr>
          <w:trHeight w:val="288"/>
          <w:jc w:val="center"/>
        </w:trPr>
        <w:tc>
          <w:tcPr>
            <w:tcW w:w="1240" w:type="dxa"/>
            <w:shd w:val="clear" w:color="auto" w:fill="F2F2F2" w:themeFill="background1" w:themeFillShade="F2"/>
            <w:noWrap/>
            <w:tcMar>
              <w:top w:w="0" w:type="dxa"/>
              <w:left w:w="70" w:type="dxa"/>
              <w:bottom w:w="0" w:type="dxa"/>
              <w:right w:w="70" w:type="dxa"/>
            </w:tcMar>
            <w:vAlign w:val="bottom"/>
            <w:hideMark/>
          </w:tcPr>
          <w:p w14:paraId="067E327F" w14:textId="77777777" w:rsidR="00A135DF" w:rsidRPr="00A135DF" w:rsidRDefault="00A135DF" w:rsidP="00A135DF">
            <w:pPr>
              <w:jc w:val="center"/>
              <w:rPr>
                <w:rFonts w:ascii="Acumin variable pro" w:hAnsi="Acumin variable pro"/>
                <w:b/>
                <w:bCs/>
                <w:color w:val="000000"/>
                <w:sz w:val="24"/>
                <w:szCs w:val="24"/>
              </w:rPr>
            </w:pPr>
            <w:r w:rsidRPr="00A135DF">
              <w:rPr>
                <w:rFonts w:ascii="Acumin variable pro" w:hAnsi="Acumin variable pro"/>
                <w:b/>
                <w:bCs/>
                <w:color w:val="000000"/>
                <w:sz w:val="24"/>
                <w:szCs w:val="24"/>
              </w:rPr>
              <w:t>mars</w:t>
            </w:r>
          </w:p>
        </w:tc>
        <w:tc>
          <w:tcPr>
            <w:tcW w:w="1737" w:type="dxa"/>
            <w:shd w:val="clear" w:color="auto" w:fill="F2F2F2" w:themeFill="background1" w:themeFillShade="F2"/>
            <w:noWrap/>
            <w:tcMar>
              <w:top w:w="0" w:type="dxa"/>
              <w:left w:w="70" w:type="dxa"/>
              <w:bottom w:w="0" w:type="dxa"/>
              <w:right w:w="70" w:type="dxa"/>
            </w:tcMar>
            <w:vAlign w:val="bottom"/>
            <w:hideMark/>
          </w:tcPr>
          <w:p w14:paraId="3263D6DA" w14:textId="77777777"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26 345</w:t>
            </w:r>
          </w:p>
        </w:tc>
        <w:tc>
          <w:tcPr>
            <w:tcW w:w="1843" w:type="dxa"/>
            <w:shd w:val="clear" w:color="auto" w:fill="F2F2F2" w:themeFill="background1" w:themeFillShade="F2"/>
            <w:noWrap/>
            <w:tcMar>
              <w:top w:w="0" w:type="dxa"/>
              <w:left w:w="70" w:type="dxa"/>
              <w:bottom w:w="0" w:type="dxa"/>
              <w:right w:w="70" w:type="dxa"/>
            </w:tcMar>
            <w:vAlign w:val="bottom"/>
            <w:hideMark/>
          </w:tcPr>
          <w:p w14:paraId="3B36432F" w14:textId="1907FF7E"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23 301</w:t>
            </w:r>
          </w:p>
        </w:tc>
      </w:tr>
      <w:tr w:rsidR="00A135DF" w:rsidRPr="00A135DF" w14:paraId="71C2E5E3" w14:textId="77777777" w:rsidTr="00BD28A3">
        <w:trPr>
          <w:trHeight w:val="288"/>
          <w:jc w:val="center"/>
        </w:trPr>
        <w:tc>
          <w:tcPr>
            <w:tcW w:w="1240" w:type="dxa"/>
            <w:shd w:val="clear" w:color="auto" w:fill="F2F2F2" w:themeFill="background1" w:themeFillShade="F2"/>
            <w:noWrap/>
            <w:tcMar>
              <w:top w:w="0" w:type="dxa"/>
              <w:left w:w="70" w:type="dxa"/>
              <w:bottom w:w="0" w:type="dxa"/>
              <w:right w:w="70" w:type="dxa"/>
            </w:tcMar>
            <w:vAlign w:val="bottom"/>
            <w:hideMark/>
          </w:tcPr>
          <w:p w14:paraId="7030A7B8" w14:textId="77777777" w:rsidR="00A135DF" w:rsidRPr="00A135DF" w:rsidRDefault="00A135DF" w:rsidP="00A135DF">
            <w:pPr>
              <w:jc w:val="center"/>
              <w:rPr>
                <w:rFonts w:ascii="Acumin variable pro" w:hAnsi="Acumin variable pro"/>
                <w:b/>
                <w:bCs/>
                <w:color w:val="000000"/>
                <w:sz w:val="24"/>
                <w:szCs w:val="24"/>
              </w:rPr>
            </w:pPr>
            <w:r w:rsidRPr="00A135DF">
              <w:rPr>
                <w:rFonts w:ascii="Acumin variable pro" w:hAnsi="Acumin variable pro"/>
                <w:b/>
                <w:bCs/>
                <w:color w:val="000000"/>
                <w:sz w:val="24"/>
                <w:szCs w:val="24"/>
              </w:rPr>
              <w:t>avril</w:t>
            </w:r>
          </w:p>
        </w:tc>
        <w:tc>
          <w:tcPr>
            <w:tcW w:w="1737" w:type="dxa"/>
            <w:shd w:val="clear" w:color="auto" w:fill="F2F2F2" w:themeFill="background1" w:themeFillShade="F2"/>
            <w:noWrap/>
            <w:tcMar>
              <w:top w:w="0" w:type="dxa"/>
              <w:left w:w="70" w:type="dxa"/>
              <w:bottom w:w="0" w:type="dxa"/>
              <w:right w:w="70" w:type="dxa"/>
            </w:tcMar>
            <w:vAlign w:val="bottom"/>
            <w:hideMark/>
          </w:tcPr>
          <w:p w14:paraId="159F332F" w14:textId="77777777"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66 694</w:t>
            </w:r>
          </w:p>
        </w:tc>
        <w:tc>
          <w:tcPr>
            <w:tcW w:w="1843" w:type="dxa"/>
            <w:shd w:val="clear" w:color="auto" w:fill="F2F2F2" w:themeFill="background1" w:themeFillShade="F2"/>
            <w:noWrap/>
            <w:tcMar>
              <w:top w:w="0" w:type="dxa"/>
              <w:left w:w="70" w:type="dxa"/>
              <w:bottom w:w="0" w:type="dxa"/>
              <w:right w:w="70" w:type="dxa"/>
            </w:tcMar>
            <w:vAlign w:val="bottom"/>
            <w:hideMark/>
          </w:tcPr>
          <w:p w14:paraId="177B56F0" w14:textId="79AA0DB5"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56 914</w:t>
            </w:r>
          </w:p>
        </w:tc>
      </w:tr>
      <w:tr w:rsidR="00A135DF" w:rsidRPr="00A135DF" w14:paraId="3F57F0BA" w14:textId="77777777" w:rsidTr="00BD28A3">
        <w:trPr>
          <w:trHeight w:val="288"/>
          <w:jc w:val="center"/>
        </w:trPr>
        <w:tc>
          <w:tcPr>
            <w:tcW w:w="1240" w:type="dxa"/>
            <w:shd w:val="clear" w:color="auto" w:fill="F2F2F2" w:themeFill="background1" w:themeFillShade="F2"/>
            <w:noWrap/>
            <w:tcMar>
              <w:top w:w="0" w:type="dxa"/>
              <w:left w:w="70" w:type="dxa"/>
              <w:bottom w:w="0" w:type="dxa"/>
              <w:right w:w="70" w:type="dxa"/>
            </w:tcMar>
            <w:vAlign w:val="bottom"/>
            <w:hideMark/>
          </w:tcPr>
          <w:p w14:paraId="5CFA3837" w14:textId="77777777" w:rsidR="00A135DF" w:rsidRPr="00A135DF" w:rsidRDefault="00A135DF" w:rsidP="00A135DF">
            <w:pPr>
              <w:jc w:val="center"/>
              <w:rPr>
                <w:rFonts w:ascii="Acumin variable pro" w:hAnsi="Acumin variable pro"/>
                <w:b/>
                <w:bCs/>
                <w:color w:val="000000"/>
                <w:sz w:val="24"/>
                <w:szCs w:val="24"/>
              </w:rPr>
            </w:pPr>
            <w:r w:rsidRPr="00A135DF">
              <w:rPr>
                <w:rFonts w:ascii="Acumin variable pro" w:hAnsi="Acumin variable pro"/>
                <w:b/>
                <w:bCs/>
                <w:color w:val="000000"/>
                <w:sz w:val="24"/>
                <w:szCs w:val="24"/>
              </w:rPr>
              <w:t>mai</w:t>
            </w:r>
          </w:p>
        </w:tc>
        <w:tc>
          <w:tcPr>
            <w:tcW w:w="1737" w:type="dxa"/>
            <w:shd w:val="clear" w:color="auto" w:fill="F2F2F2" w:themeFill="background1" w:themeFillShade="F2"/>
            <w:noWrap/>
            <w:tcMar>
              <w:top w:w="0" w:type="dxa"/>
              <w:left w:w="70" w:type="dxa"/>
              <w:bottom w:w="0" w:type="dxa"/>
              <w:right w:w="70" w:type="dxa"/>
            </w:tcMar>
            <w:vAlign w:val="bottom"/>
            <w:hideMark/>
          </w:tcPr>
          <w:p w14:paraId="064B6E7A" w14:textId="77777777"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58 811</w:t>
            </w:r>
          </w:p>
        </w:tc>
        <w:tc>
          <w:tcPr>
            <w:tcW w:w="1843" w:type="dxa"/>
            <w:shd w:val="clear" w:color="auto" w:fill="F2F2F2" w:themeFill="background1" w:themeFillShade="F2"/>
            <w:noWrap/>
            <w:tcMar>
              <w:top w:w="0" w:type="dxa"/>
              <w:left w:w="70" w:type="dxa"/>
              <w:bottom w:w="0" w:type="dxa"/>
              <w:right w:w="70" w:type="dxa"/>
            </w:tcMar>
            <w:vAlign w:val="bottom"/>
            <w:hideMark/>
          </w:tcPr>
          <w:p w14:paraId="16D9DF4B" w14:textId="2F516539"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55 936</w:t>
            </w:r>
          </w:p>
        </w:tc>
      </w:tr>
      <w:tr w:rsidR="00A135DF" w:rsidRPr="00A135DF" w14:paraId="5CB010F9" w14:textId="77777777" w:rsidTr="00BD28A3">
        <w:trPr>
          <w:trHeight w:val="288"/>
          <w:jc w:val="center"/>
        </w:trPr>
        <w:tc>
          <w:tcPr>
            <w:tcW w:w="1240" w:type="dxa"/>
            <w:shd w:val="clear" w:color="auto" w:fill="F2F2F2" w:themeFill="background1" w:themeFillShade="F2"/>
            <w:noWrap/>
            <w:tcMar>
              <w:top w:w="0" w:type="dxa"/>
              <w:left w:w="70" w:type="dxa"/>
              <w:bottom w:w="0" w:type="dxa"/>
              <w:right w:w="70" w:type="dxa"/>
            </w:tcMar>
            <w:vAlign w:val="bottom"/>
            <w:hideMark/>
          </w:tcPr>
          <w:p w14:paraId="2BBAD70E" w14:textId="77777777" w:rsidR="00A135DF" w:rsidRPr="00A135DF" w:rsidRDefault="00A135DF" w:rsidP="00A135DF">
            <w:pPr>
              <w:jc w:val="center"/>
              <w:rPr>
                <w:rFonts w:ascii="Acumin variable pro" w:hAnsi="Acumin variable pro"/>
                <w:b/>
                <w:bCs/>
                <w:color w:val="000000"/>
                <w:sz w:val="24"/>
                <w:szCs w:val="24"/>
              </w:rPr>
            </w:pPr>
            <w:r w:rsidRPr="00A135DF">
              <w:rPr>
                <w:rFonts w:ascii="Acumin variable pro" w:hAnsi="Acumin variable pro"/>
                <w:b/>
                <w:bCs/>
                <w:color w:val="000000"/>
                <w:sz w:val="24"/>
                <w:szCs w:val="24"/>
              </w:rPr>
              <w:t>juin</w:t>
            </w:r>
          </w:p>
        </w:tc>
        <w:tc>
          <w:tcPr>
            <w:tcW w:w="1737" w:type="dxa"/>
            <w:shd w:val="clear" w:color="auto" w:fill="F2F2F2" w:themeFill="background1" w:themeFillShade="F2"/>
            <w:noWrap/>
            <w:tcMar>
              <w:top w:w="0" w:type="dxa"/>
              <w:left w:w="70" w:type="dxa"/>
              <w:bottom w:w="0" w:type="dxa"/>
              <w:right w:w="70" w:type="dxa"/>
            </w:tcMar>
            <w:vAlign w:val="bottom"/>
            <w:hideMark/>
          </w:tcPr>
          <w:p w14:paraId="39D8F280" w14:textId="77777777"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62 494</w:t>
            </w:r>
          </w:p>
        </w:tc>
        <w:tc>
          <w:tcPr>
            <w:tcW w:w="1843" w:type="dxa"/>
            <w:shd w:val="clear" w:color="auto" w:fill="F2F2F2" w:themeFill="background1" w:themeFillShade="F2"/>
            <w:noWrap/>
            <w:tcMar>
              <w:top w:w="0" w:type="dxa"/>
              <w:left w:w="70" w:type="dxa"/>
              <w:bottom w:w="0" w:type="dxa"/>
              <w:right w:w="70" w:type="dxa"/>
            </w:tcMar>
            <w:vAlign w:val="bottom"/>
            <w:hideMark/>
          </w:tcPr>
          <w:p w14:paraId="52DBFE1A" w14:textId="3521F119"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51 945</w:t>
            </w:r>
          </w:p>
        </w:tc>
      </w:tr>
      <w:tr w:rsidR="00A135DF" w:rsidRPr="00A135DF" w14:paraId="4DCC3BDC" w14:textId="77777777" w:rsidTr="00BD28A3">
        <w:trPr>
          <w:trHeight w:val="288"/>
          <w:jc w:val="center"/>
        </w:trPr>
        <w:tc>
          <w:tcPr>
            <w:tcW w:w="1240" w:type="dxa"/>
            <w:shd w:val="clear" w:color="auto" w:fill="F2F2F2" w:themeFill="background1" w:themeFillShade="F2"/>
            <w:noWrap/>
            <w:tcMar>
              <w:top w:w="0" w:type="dxa"/>
              <w:left w:w="70" w:type="dxa"/>
              <w:bottom w:w="0" w:type="dxa"/>
              <w:right w:w="70" w:type="dxa"/>
            </w:tcMar>
            <w:vAlign w:val="bottom"/>
            <w:hideMark/>
          </w:tcPr>
          <w:p w14:paraId="6987FF04" w14:textId="77777777" w:rsidR="00A135DF" w:rsidRPr="00A135DF" w:rsidRDefault="00A135DF" w:rsidP="00A135DF">
            <w:pPr>
              <w:jc w:val="center"/>
              <w:rPr>
                <w:rFonts w:ascii="Acumin variable pro" w:hAnsi="Acumin variable pro"/>
                <w:b/>
                <w:bCs/>
                <w:color w:val="000000"/>
                <w:sz w:val="24"/>
                <w:szCs w:val="24"/>
              </w:rPr>
            </w:pPr>
            <w:proofErr w:type="spellStart"/>
            <w:r w:rsidRPr="00A135DF">
              <w:rPr>
                <w:rFonts w:ascii="Acumin variable pro" w:hAnsi="Acumin variable pro"/>
                <w:b/>
                <w:bCs/>
                <w:color w:val="000000"/>
                <w:sz w:val="24"/>
                <w:szCs w:val="24"/>
              </w:rPr>
              <w:t>juil</w:t>
            </w:r>
            <w:proofErr w:type="spellEnd"/>
          </w:p>
        </w:tc>
        <w:tc>
          <w:tcPr>
            <w:tcW w:w="1737" w:type="dxa"/>
            <w:shd w:val="clear" w:color="auto" w:fill="F2F2F2" w:themeFill="background1" w:themeFillShade="F2"/>
            <w:noWrap/>
            <w:tcMar>
              <w:top w:w="0" w:type="dxa"/>
              <w:left w:w="70" w:type="dxa"/>
              <w:bottom w:w="0" w:type="dxa"/>
              <w:right w:w="70" w:type="dxa"/>
            </w:tcMar>
            <w:vAlign w:val="bottom"/>
            <w:hideMark/>
          </w:tcPr>
          <w:p w14:paraId="214F1F23" w14:textId="77777777"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94 760</w:t>
            </w:r>
          </w:p>
        </w:tc>
        <w:tc>
          <w:tcPr>
            <w:tcW w:w="1843" w:type="dxa"/>
            <w:shd w:val="clear" w:color="auto" w:fill="F2F2F2" w:themeFill="background1" w:themeFillShade="F2"/>
            <w:noWrap/>
            <w:tcMar>
              <w:top w:w="0" w:type="dxa"/>
              <w:left w:w="70" w:type="dxa"/>
              <w:bottom w:w="0" w:type="dxa"/>
              <w:right w:w="70" w:type="dxa"/>
            </w:tcMar>
            <w:vAlign w:val="bottom"/>
            <w:hideMark/>
          </w:tcPr>
          <w:p w14:paraId="736A3DA8" w14:textId="79A5DF92"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94 331</w:t>
            </w:r>
          </w:p>
        </w:tc>
      </w:tr>
      <w:tr w:rsidR="00A135DF" w:rsidRPr="00A135DF" w14:paraId="467D0800" w14:textId="77777777" w:rsidTr="00BD28A3">
        <w:trPr>
          <w:trHeight w:val="288"/>
          <w:jc w:val="center"/>
        </w:trPr>
        <w:tc>
          <w:tcPr>
            <w:tcW w:w="1240" w:type="dxa"/>
            <w:shd w:val="clear" w:color="auto" w:fill="F2F2F2" w:themeFill="background1" w:themeFillShade="F2"/>
            <w:noWrap/>
            <w:tcMar>
              <w:top w:w="0" w:type="dxa"/>
              <w:left w:w="70" w:type="dxa"/>
              <w:bottom w:w="0" w:type="dxa"/>
              <w:right w:w="70" w:type="dxa"/>
            </w:tcMar>
            <w:vAlign w:val="bottom"/>
            <w:hideMark/>
          </w:tcPr>
          <w:p w14:paraId="2F213B11" w14:textId="77777777" w:rsidR="00A135DF" w:rsidRPr="00A135DF" w:rsidRDefault="00A135DF" w:rsidP="00A135DF">
            <w:pPr>
              <w:jc w:val="center"/>
              <w:rPr>
                <w:rFonts w:ascii="Acumin variable pro" w:hAnsi="Acumin variable pro"/>
                <w:b/>
                <w:bCs/>
                <w:color w:val="000000"/>
                <w:sz w:val="24"/>
                <w:szCs w:val="24"/>
              </w:rPr>
            </w:pPr>
            <w:r w:rsidRPr="00A135DF">
              <w:rPr>
                <w:rFonts w:ascii="Acumin variable pro" w:hAnsi="Acumin variable pro"/>
                <w:b/>
                <w:bCs/>
                <w:color w:val="000000"/>
                <w:sz w:val="24"/>
                <w:szCs w:val="24"/>
              </w:rPr>
              <w:t>août</w:t>
            </w:r>
          </w:p>
        </w:tc>
        <w:tc>
          <w:tcPr>
            <w:tcW w:w="1737" w:type="dxa"/>
            <w:shd w:val="clear" w:color="auto" w:fill="F2F2F2" w:themeFill="background1" w:themeFillShade="F2"/>
            <w:noWrap/>
            <w:tcMar>
              <w:top w:w="0" w:type="dxa"/>
              <w:left w:w="70" w:type="dxa"/>
              <w:bottom w:w="0" w:type="dxa"/>
              <w:right w:w="70" w:type="dxa"/>
            </w:tcMar>
            <w:vAlign w:val="bottom"/>
            <w:hideMark/>
          </w:tcPr>
          <w:p w14:paraId="28E3D458" w14:textId="77777777"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132 015</w:t>
            </w:r>
          </w:p>
        </w:tc>
        <w:tc>
          <w:tcPr>
            <w:tcW w:w="1843" w:type="dxa"/>
            <w:shd w:val="clear" w:color="auto" w:fill="F2F2F2" w:themeFill="background1" w:themeFillShade="F2"/>
            <w:noWrap/>
            <w:tcMar>
              <w:top w:w="0" w:type="dxa"/>
              <w:left w:w="70" w:type="dxa"/>
              <w:bottom w:w="0" w:type="dxa"/>
              <w:right w:w="70" w:type="dxa"/>
            </w:tcMar>
            <w:vAlign w:val="bottom"/>
            <w:hideMark/>
          </w:tcPr>
          <w:p w14:paraId="4755ED4A" w14:textId="7D54B849"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133 297</w:t>
            </w:r>
          </w:p>
        </w:tc>
      </w:tr>
      <w:tr w:rsidR="00A135DF" w:rsidRPr="00A135DF" w14:paraId="4E7F5452" w14:textId="77777777" w:rsidTr="00BD28A3">
        <w:trPr>
          <w:trHeight w:val="288"/>
          <w:jc w:val="center"/>
        </w:trPr>
        <w:tc>
          <w:tcPr>
            <w:tcW w:w="1240" w:type="dxa"/>
            <w:shd w:val="clear" w:color="auto" w:fill="F2F2F2" w:themeFill="background1" w:themeFillShade="F2"/>
            <w:noWrap/>
            <w:tcMar>
              <w:top w:w="0" w:type="dxa"/>
              <w:left w:w="70" w:type="dxa"/>
              <w:bottom w:w="0" w:type="dxa"/>
              <w:right w:w="70" w:type="dxa"/>
            </w:tcMar>
            <w:vAlign w:val="bottom"/>
            <w:hideMark/>
          </w:tcPr>
          <w:p w14:paraId="45A8B2DA" w14:textId="77777777" w:rsidR="00A135DF" w:rsidRPr="00A135DF" w:rsidRDefault="00A135DF" w:rsidP="00A135DF">
            <w:pPr>
              <w:jc w:val="center"/>
              <w:rPr>
                <w:rFonts w:ascii="Acumin variable pro" w:hAnsi="Acumin variable pro"/>
                <w:b/>
                <w:bCs/>
                <w:color w:val="000000"/>
                <w:sz w:val="24"/>
                <w:szCs w:val="24"/>
              </w:rPr>
            </w:pPr>
            <w:r w:rsidRPr="00A135DF">
              <w:rPr>
                <w:rFonts w:ascii="Acumin variable pro" w:hAnsi="Acumin variable pro"/>
                <w:b/>
                <w:bCs/>
                <w:color w:val="000000"/>
                <w:sz w:val="24"/>
                <w:szCs w:val="24"/>
              </w:rPr>
              <w:t>sept</w:t>
            </w:r>
          </w:p>
        </w:tc>
        <w:tc>
          <w:tcPr>
            <w:tcW w:w="1737" w:type="dxa"/>
            <w:shd w:val="clear" w:color="auto" w:fill="F2F2F2" w:themeFill="background1" w:themeFillShade="F2"/>
            <w:noWrap/>
            <w:tcMar>
              <w:top w:w="0" w:type="dxa"/>
              <w:left w:w="70" w:type="dxa"/>
              <w:bottom w:w="0" w:type="dxa"/>
              <w:right w:w="70" w:type="dxa"/>
            </w:tcMar>
            <w:vAlign w:val="bottom"/>
            <w:hideMark/>
          </w:tcPr>
          <w:p w14:paraId="73E240A4" w14:textId="77777777"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58 939</w:t>
            </w:r>
          </w:p>
        </w:tc>
        <w:tc>
          <w:tcPr>
            <w:tcW w:w="1843" w:type="dxa"/>
            <w:shd w:val="clear" w:color="auto" w:fill="F2F2F2" w:themeFill="background1" w:themeFillShade="F2"/>
            <w:noWrap/>
            <w:tcMar>
              <w:top w:w="0" w:type="dxa"/>
              <w:left w:w="70" w:type="dxa"/>
              <w:bottom w:w="0" w:type="dxa"/>
              <w:right w:w="70" w:type="dxa"/>
            </w:tcMar>
            <w:vAlign w:val="bottom"/>
            <w:hideMark/>
          </w:tcPr>
          <w:p w14:paraId="49D6BF8D" w14:textId="3ADFFE14"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55 770</w:t>
            </w:r>
          </w:p>
        </w:tc>
      </w:tr>
      <w:tr w:rsidR="00A135DF" w:rsidRPr="00A135DF" w14:paraId="617B2BF0" w14:textId="77777777" w:rsidTr="00BD28A3">
        <w:trPr>
          <w:trHeight w:val="288"/>
          <w:jc w:val="center"/>
        </w:trPr>
        <w:tc>
          <w:tcPr>
            <w:tcW w:w="1240" w:type="dxa"/>
            <w:shd w:val="clear" w:color="auto" w:fill="F2F2F2" w:themeFill="background1" w:themeFillShade="F2"/>
            <w:noWrap/>
            <w:tcMar>
              <w:top w:w="0" w:type="dxa"/>
              <w:left w:w="70" w:type="dxa"/>
              <w:bottom w:w="0" w:type="dxa"/>
              <w:right w:w="70" w:type="dxa"/>
            </w:tcMar>
            <w:vAlign w:val="bottom"/>
            <w:hideMark/>
          </w:tcPr>
          <w:p w14:paraId="05D2AE4D" w14:textId="77777777" w:rsidR="00A135DF" w:rsidRPr="00A135DF" w:rsidRDefault="00A135DF" w:rsidP="00A135DF">
            <w:pPr>
              <w:jc w:val="center"/>
              <w:rPr>
                <w:rFonts w:ascii="Acumin variable pro" w:hAnsi="Acumin variable pro"/>
                <w:b/>
                <w:bCs/>
                <w:color w:val="000000"/>
                <w:sz w:val="24"/>
                <w:szCs w:val="24"/>
              </w:rPr>
            </w:pPr>
            <w:proofErr w:type="spellStart"/>
            <w:r w:rsidRPr="00A135DF">
              <w:rPr>
                <w:rFonts w:ascii="Acumin variable pro" w:hAnsi="Acumin variable pro"/>
                <w:b/>
                <w:bCs/>
                <w:color w:val="000000"/>
                <w:sz w:val="24"/>
                <w:szCs w:val="24"/>
              </w:rPr>
              <w:t>oct</w:t>
            </w:r>
            <w:proofErr w:type="spellEnd"/>
          </w:p>
        </w:tc>
        <w:tc>
          <w:tcPr>
            <w:tcW w:w="1737" w:type="dxa"/>
            <w:shd w:val="clear" w:color="auto" w:fill="F2F2F2" w:themeFill="background1" w:themeFillShade="F2"/>
            <w:noWrap/>
            <w:tcMar>
              <w:top w:w="0" w:type="dxa"/>
              <w:left w:w="70" w:type="dxa"/>
              <w:bottom w:w="0" w:type="dxa"/>
              <w:right w:w="70" w:type="dxa"/>
            </w:tcMar>
            <w:vAlign w:val="bottom"/>
            <w:hideMark/>
          </w:tcPr>
          <w:p w14:paraId="7E7571A6" w14:textId="77777777"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41 701</w:t>
            </w:r>
          </w:p>
        </w:tc>
        <w:tc>
          <w:tcPr>
            <w:tcW w:w="1843" w:type="dxa"/>
            <w:shd w:val="clear" w:color="auto" w:fill="F2F2F2" w:themeFill="background1" w:themeFillShade="F2"/>
            <w:noWrap/>
            <w:tcMar>
              <w:top w:w="0" w:type="dxa"/>
              <w:left w:w="70" w:type="dxa"/>
              <w:bottom w:w="0" w:type="dxa"/>
              <w:right w:w="70" w:type="dxa"/>
            </w:tcMar>
            <w:vAlign w:val="bottom"/>
            <w:hideMark/>
          </w:tcPr>
          <w:p w14:paraId="7A95D78D" w14:textId="610627AA"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43 373</w:t>
            </w:r>
          </w:p>
        </w:tc>
      </w:tr>
      <w:tr w:rsidR="00A135DF" w:rsidRPr="00A135DF" w14:paraId="1873B9B6" w14:textId="77777777" w:rsidTr="00BD28A3">
        <w:trPr>
          <w:trHeight w:val="288"/>
          <w:jc w:val="center"/>
        </w:trPr>
        <w:tc>
          <w:tcPr>
            <w:tcW w:w="1240" w:type="dxa"/>
            <w:shd w:val="clear" w:color="auto" w:fill="F2F2F2" w:themeFill="background1" w:themeFillShade="F2"/>
            <w:noWrap/>
            <w:tcMar>
              <w:top w:w="0" w:type="dxa"/>
              <w:left w:w="70" w:type="dxa"/>
              <w:bottom w:w="0" w:type="dxa"/>
              <w:right w:w="70" w:type="dxa"/>
            </w:tcMar>
            <w:vAlign w:val="bottom"/>
            <w:hideMark/>
          </w:tcPr>
          <w:p w14:paraId="4D518FCC" w14:textId="77777777" w:rsidR="00A135DF" w:rsidRPr="00A135DF" w:rsidRDefault="00A135DF" w:rsidP="00A135DF">
            <w:pPr>
              <w:jc w:val="center"/>
              <w:rPr>
                <w:rFonts w:ascii="Acumin variable pro" w:hAnsi="Acumin variable pro"/>
                <w:b/>
                <w:bCs/>
                <w:color w:val="000000"/>
                <w:sz w:val="24"/>
                <w:szCs w:val="24"/>
              </w:rPr>
            </w:pPr>
            <w:proofErr w:type="spellStart"/>
            <w:r w:rsidRPr="00A135DF">
              <w:rPr>
                <w:rFonts w:ascii="Acumin variable pro" w:hAnsi="Acumin variable pro"/>
                <w:b/>
                <w:bCs/>
                <w:color w:val="000000"/>
                <w:sz w:val="24"/>
                <w:szCs w:val="24"/>
              </w:rPr>
              <w:t>nov</w:t>
            </w:r>
            <w:proofErr w:type="spellEnd"/>
          </w:p>
        </w:tc>
        <w:tc>
          <w:tcPr>
            <w:tcW w:w="1737" w:type="dxa"/>
            <w:shd w:val="clear" w:color="auto" w:fill="F2F2F2" w:themeFill="background1" w:themeFillShade="F2"/>
            <w:noWrap/>
            <w:tcMar>
              <w:top w:w="0" w:type="dxa"/>
              <w:left w:w="70" w:type="dxa"/>
              <w:bottom w:w="0" w:type="dxa"/>
              <w:right w:w="70" w:type="dxa"/>
            </w:tcMar>
            <w:vAlign w:val="bottom"/>
            <w:hideMark/>
          </w:tcPr>
          <w:p w14:paraId="4D065761" w14:textId="77777777"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23 141</w:t>
            </w:r>
          </w:p>
        </w:tc>
        <w:tc>
          <w:tcPr>
            <w:tcW w:w="1843" w:type="dxa"/>
            <w:shd w:val="clear" w:color="auto" w:fill="F2F2F2" w:themeFill="background1" w:themeFillShade="F2"/>
            <w:noWrap/>
            <w:tcMar>
              <w:top w:w="0" w:type="dxa"/>
              <w:left w:w="70" w:type="dxa"/>
              <w:bottom w:w="0" w:type="dxa"/>
              <w:right w:w="70" w:type="dxa"/>
            </w:tcMar>
            <w:vAlign w:val="bottom"/>
            <w:hideMark/>
          </w:tcPr>
          <w:p w14:paraId="07530F04" w14:textId="7D1801B0"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26 887</w:t>
            </w:r>
          </w:p>
        </w:tc>
      </w:tr>
      <w:tr w:rsidR="00A135DF" w:rsidRPr="00A135DF" w14:paraId="47A6EE60" w14:textId="77777777" w:rsidTr="00BD28A3">
        <w:trPr>
          <w:trHeight w:val="300"/>
          <w:jc w:val="center"/>
        </w:trPr>
        <w:tc>
          <w:tcPr>
            <w:tcW w:w="1240" w:type="dxa"/>
            <w:shd w:val="clear" w:color="auto" w:fill="F2F2F2" w:themeFill="background1" w:themeFillShade="F2"/>
            <w:noWrap/>
            <w:tcMar>
              <w:top w:w="0" w:type="dxa"/>
              <w:left w:w="70" w:type="dxa"/>
              <w:bottom w:w="0" w:type="dxa"/>
              <w:right w:w="70" w:type="dxa"/>
            </w:tcMar>
            <w:vAlign w:val="bottom"/>
            <w:hideMark/>
          </w:tcPr>
          <w:p w14:paraId="2AA849DE" w14:textId="77777777" w:rsidR="00A135DF" w:rsidRPr="00A135DF" w:rsidRDefault="00A135DF" w:rsidP="00A135DF">
            <w:pPr>
              <w:jc w:val="center"/>
              <w:rPr>
                <w:rFonts w:ascii="Acumin variable pro" w:hAnsi="Acumin variable pro"/>
                <w:b/>
                <w:bCs/>
                <w:color w:val="000000"/>
                <w:sz w:val="24"/>
                <w:szCs w:val="24"/>
              </w:rPr>
            </w:pPr>
            <w:proofErr w:type="spellStart"/>
            <w:r w:rsidRPr="00A135DF">
              <w:rPr>
                <w:rFonts w:ascii="Acumin variable pro" w:hAnsi="Acumin variable pro"/>
                <w:b/>
                <w:bCs/>
                <w:color w:val="000000"/>
                <w:sz w:val="24"/>
                <w:szCs w:val="24"/>
              </w:rPr>
              <w:t>dec</w:t>
            </w:r>
            <w:proofErr w:type="spellEnd"/>
            <w:r w:rsidRPr="00A135DF">
              <w:rPr>
                <w:rFonts w:ascii="Acumin variable pro" w:hAnsi="Acumin variable pro"/>
                <w:b/>
                <w:bCs/>
                <w:color w:val="000000"/>
                <w:sz w:val="24"/>
                <w:szCs w:val="24"/>
              </w:rPr>
              <w:t xml:space="preserve"> </w:t>
            </w:r>
          </w:p>
        </w:tc>
        <w:tc>
          <w:tcPr>
            <w:tcW w:w="1737" w:type="dxa"/>
            <w:shd w:val="clear" w:color="auto" w:fill="F2F2F2" w:themeFill="background1" w:themeFillShade="F2"/>
            <w:noWrap/>
            <w:tcMar>
              <w:top w:w="0" w:type="dxa"/>
              <w:left w:w="70" w:type="dxa"/>
              <w:bottom w:w="0" w:type="dxa"/>
              <w:right w:w="70" w:type="dxa"/>
            </w:tcMar>
            <w:vAlign w:val="bottom"/>
            <w:hideMark/>
          </w:tcPr>
          <w:p w14:paraId="15269FD2" w14:textId="77777777"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23 338</w:t>
            </w:r>
          </w:p>
        </w:tc>
        <w:tc>
          <w:tcPr>
            <w:tcW w:w="1843" w:type="dxa"/>
            <w:shd w:val="clear" w:color="auto" w:fill="F2F2F2" w:themeFill="background1" w:themeFillShade="F2"/>
            <w:noWrap/>
            <w:tcMar>
              <w:top w:w="0" w:type="dxa"/>
              <w:left w:w="70" w:type="dxa"/>
              <w:bottom w:w="0" w:type="dxa"/>
              <w:right w:w="70" w:type="dxa"/>
            </w:tcMar>
            <w:vAlign w:val="bottom"/>
            <w:hideMark/>
          </w:tcPr>
          <w:p w14:paraId="05CDEA6C" w14:textId="7D086459" w:rsidR="00A135DF" w:rsidRPr="00A135DF" w:rsidRDefault="00A135DF" w:rsidP="00BD28A3">
            <w:pPr>
              <w:jc w:val="right"/>
              <w:rPr>
                <w:rFonts w:ascii="Acumin variable pro" w:hAnsi="Acumin variable pro"/>
                <w:color w:val="000000"/>
                <w:sz w:val="24"/>
                <w:szCs w:val="24"/>
              </w:rPr>
            </w:pPr>
            <w:r w:rsidRPr="00A135DF">
              <w:rPr>
                <w:rFonts w:ascii="Acumin variable pro" w:hAnsi="Acumin variable pro"/>
                <w:color w:val="000000"/>
                <w:sz w:val="24"/>
                <w:szCs w:val="24"/>
              </w:rPr>
              <w:t>20 255</w:t>
            </w:r>
          </w:p>
        </w:tc>
      </w:tr>
      <w:tr w:rsidR="00A135DF" w:rsidRPr="00A135DF" w14:paraId="1E66C7E3" w14:textId="77777777" w:rsidTr="00BD28A3">
        <w:trPr>
          <w:trHeight w:val="300"/>
          <w:jc w:val="center"/>
        </w:trPr>
        <w:tc>
          <w:tcPr>
            <w:tcW w:w="1240" w:type="dxa"/>
            <w:shd w:val="clear" w:color="auto" w:fill="F2F2F2" w:themeFill="background1" w:themeFillShade="F2"/>
            <w:noWrap/>
            <w:tcMar>
              <w:top w:w="0" w:type="dxa"/>
              <w:left w:w="70" w:type="dxa"/>
              <w:bottom w:w="0" w:type="dxa"/>
              <w:right w:w="70" w:type="dxa"/>
            </w:tcMar>
            <w:vAlign w:val="bottom"/>
            <w:hideMark/>
          </w:tcPr>
          <w:p w14:paraId="6A13BB1B" w14:textId="77777777" w:rsidR="00A135DF" w:rsidRPr="00A135DF" w:rsidRDefault="00A135DF" w:rsidP="00A135DF">
            <w:pPr>
              <w:jc w:val="center"/>
              <w:rPr>
                <w:rFonts w:ascii="Acumin variable pro" w:hAnsi="Acumin variable pro"/>
                <w:b/>
                <w:bCs/>
                <w:color w:val="000000"/>
                <w:sz w:val="24"/>
                <w:szCs w:val="24"/>
              </w:rPr>
            </w:pPr>
            <w:r w:rsidRPr="00A135DF">
              <w:rPr>
                <w:rFonts w:ascii="Acumin variable pro" w:hAnsi="Acumin variable pro"/>
                <w:b/>
                <w:bCs/>
                <w:color w:val="000000"/>
                <w:sz w:val="24"/>
                <w:szCs w:val="24"/>
              </w:rPr>
              <w:t>Total</w:t>
            </w:r>
          </w:p>
        </w:tc>
        <w:tc>
          <w:tcPr>
            <w:tcW w:w="1737" w:type="dxa"/>
            <w:shd w:val="clear" w:color="auto" w:fill="F2F2F2" w:themeFill="background1" w:themeFillShade="F2"/>
            <w:noWrap/>
            <w:tcMar>
              <w:top w:w="0" w:type="dxa"/>
              <w:left w:w="70" w:type="dxa"/>
              <w:bottom w:w="0" w:type="dxa"/>
              <w:right w:w="70" w:type="dxa"/>
            </w:tcMar>
            <w:vAlign w:val="bottom"/>
            <w:hideMark/>
          </w:tcPr>
          <w:p w14:paraId="11FDD9AC" w14:textId="77777777" w:rsidR="00A135DF" w:rsidRPr="00A135DF" w:rsidRDefault="00A135DF" w:rsidP="00BD28A3">
            <w:pPr>
              <w:jc w:val="right"/>
              <w:rPr>
                <w:rFonts w:ascii="Acumin variable pro" w:hAnsi="Acumin variable pro"/>
                <w:b/>
                <w:bCs/>
                <w:color w:val="000000"/>
                <w:sz w:val="24"/>
                <w:szCs w:val="24"/>
              </w:rPr>
            </w:pPr>
            <w:r w:rsidRPr="00A135DF">
              <w:rPr>
                <w:rFonts w:ascii="Acumin variable pro" w:hAnsi="Acumin variable pro"/>
                <w:b/>
                <w:bCs/>
                <w:color w:val="000000"/>
                <w:sz w:val="24"/>
                <w:szCs w:val="24"/>
              </w:rPr>
              <w:t>626 440</w:t>
            </w:r>
          </w:p>
        </w:tc>
        <w:tc>
          <w:tcPr>
            <w:tcW w:w="1843" w:type="dxa"/>
            <w:shd w:val="clear" w:color="auto" w:fill="F2F2F2" w:themeFill="background1" w:themeFillShade="F2"/>
            <w:noWrap/>
            <w:tcMar>
              <w:top w:w="0" w:type="dxa"/>
              <w:left w:w="70" w:type="dxa"/>
              <w:bottom w:w="0" w:type="dxa"/>
              <w:right w:w="70" w:type="dxa"/>
            </w:tcMar>
            <w:vAlign w:val="bottom"/>
            <w:hideMark/>
          </w:tcPr>
          <w:p w14:paraId="52944D50" w14:textId="77777777" w:rsidR="00A135DF" w:rsidRPr="00A135DF" w:rsidRDefault="00A135DF" w:rsidP="00BD28A3">
            <w:pPr>
              <w:jc w:val="right"/>
              <w:rPr>
                <w:rFonts w:ascii="Acumin variable pro" w:hAnsi="Acumin variable pro"/>
                <w:b/>
                <w:bCs/>
                <w:color w:val="000000"/>
                <w:sz w:val="24"/>
                <w:szCs w:val="24"/>
              </w:rPr>
            </w:pPr>
            <w:r w:rsidRPr="00A135DF">
              <w:rPr>
                <w:rFonts w:ascii="Acumin variable pro" w:hAnsi="Acumin variable pro"/>
                <w:b/>
                <w:bCs/>
                <w:color w:val="000000"/>
                <w:sz w:val="24"/>
                <w:szCs w:val="24"/>
              </w:rPr>
              <w:t>604 176</w:t>
            </w:r>
          </w:p>
        </w:tc>
      </w:tr>
    </w:tbl>
    <w:p w14:paraId="0F1B3D6B" w14:textId="77777777" w:rsidR="00A135DF" w:rsidRPr="00A135DF" w:rsidRDefault="00A135DF" w:rsidP="00651A26">
      <w:pPr>
        <w:ind w:firstLine="708"/>
        <w:jc w:val="both"/>
        <w:rPr>
          <w:rFonts w:ascii="Acumin variable pro" w:hAnsi="Acumin variable pro"/>
          <w:sz w:val="24"/>
          <w:szCs w:val="24"/>
        </w:rPr>
      </w:pPr>
      <w:r w:rsidRPr="00A135DF">
        <w:rPr>
          <w:rFonts w:ascii="Acumin variable pro" w:hAnsi="Acumin variable pro"/>
          <w:sz w:val="24"/>
          <w:szCs w:val="24"/>
        </w:rPr>
        <w:lastRenderedPageBreak/>
        <w:t>-  Vous avez prévu de mettre au moins 10 bornes (à horizon 2025) pour la poche P2 réservée au PMR, vue la distance entre le P7bis et le P2, je pense que le mieux ç'est de créer un PDL spécifique est-ce qu'il y a la possibilité de se raccorder sur un poste HTA/BT plus proche ?    </w:t>
      </w:r>
    </w:p>
    <w:p w14:paraId="367C1ADF" w14:textId="75FBBA08" w:rsidR="00A135DF" w:rsidRPr="00A135DF" w:rsidRDefault="00A135DF" w:rsidP="00651A26">
      <w:pPr>
        <w:ind w:firstLine="708"/>
        <w:jc w:val="both"/>
        <w:rPr>
          <w:rFonts w:ascii="Acumin variable pro" w:hAnsi="Acumin variable pro" w:cs="Calibri"/>
          <w:color w:val="1F497D"/>
          <w:sz w:val="24"/>
          <w:szCs w:val="24"/>
        </w:rPr>
      </w:pPr>
      <w:r w:rsidRPr="00A135DF">
        <w:rPr>
          <w:rFonts w:ascii="Acumin variable pro" w:hAnsi="Acumin variable pro"/>
          <w:color w:val="1F497D"/>
          <w:sz w:val="24"/>
          <w:szCs w:val="24"/>
        </w:rPr>
        <w:t>Il existe 2 autres PDL : un dans le centre d’exploitation et un au niveau de la barrière de filtrage Est</w:t>
      </w:r>
      <w:r w:rsidR="00B66454">
        <w:rPr>
          <w:rFonts w:ascii="Acumin variable pro" w:hAnsi="Acumin variable pro"/>
          <w:color w:val="1F497D"/>
          <w:sz w:val="24"/>
          <w:szCs w:val="24"/>
        </w:rPr>
        <w:t>.</w:t>
      </w:r>
    </w:p>
    <w:p w14:paraId="521FB547" w14:textId="77777777" w:rsidR="00A135DF" w:rsidRPr="00A135DF" w:rsidRDefault="00A135DF" w:rsidP="00651A26">
      <w:pPr>
        <w:ind w:firstLine="708"/>
        <w:jc w:val="both"/>
        <w:rPr>
          <w:rFonts w:ascii="Acumin variable pro" w:hAnsi="Acumin variable pro"/>
          <w:color w:val="1F497D"/>
          <w:sz w:val="24"/>
          <w:szCs w:val="24"/>
        </w:rPr>
      </w:pPr>
      <w:r w:rsidRPr="00A135DF">
        <w:rPr>
          <w:rFonts w:ascii="Acumin variable pro" w:hAnsi="Acumin variable pro"/>
          <w:color w:val="1F497D"/>
          <w:sz w:val="24"/>
          <w:szCs w:val="24"/>
        </w:rPr>
        <w:t xml:space="preserve">Il nous semble que tirer une ligne depuis le futur PDL représente un impact sur le génie civil moins important qu’à partir d’un des 2 autres PDL. </w:t>
      </w:r>
    </w:p>
    <w:p w14:paraId="257A3D96" w14:textId="77777777" w:rsidR="00A135DF" w:rsidRPr="00A135DF" w:rsidRDefault="00A135DF" w:rsidP="00A135DF">
      <w:pPr>
        <w:rPr>
          <w:rFonts w:ascii="Acumin variable pro" w:hAnsi="Acumin variable pro" w:cs="Times New Roman"/>
          <w:sz w:val="24"/>
          <w:szCs w:val="24"/>
        </w:rPr>
      </w:pPr>
    </w:p>
    <w:p w14:paraId="2C4193C5" w14:textId="77777777" w:rsidR="00584AB5" w:rsidRPr="000665C7" w:rsidRDefault="00584AB5" w:rsidP="00A135DF">
      <w:pPr>
        <w:rPr>
          <w:rFonts w:ascii="Acumin variable" w:hAnsi="Acumin variable"/>
          <w:sz w:val="24"/>
          <w:szCs w:val="24"/>
        </w:rPr>
      </w:pPr>
    </w:p>
    <w:sectPr w:rsidR="00584AB5" w:rsidRPr="000665C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0E0F" w14:textId="77777777" w:rsidR="006B69B3" w:rsidRDefault="006B69B3" w:rsidP="00157804">
      <w:pPr>
        <w:spacing w:after="0" w:line="240" w:lineRule="auto"/>
      </w:pPr>
      <w:r>
        <w:separator/>
      </w:r>
    </w:p>
  </w:endnote>
  <w:endnote w:type="continuationSeparator" w:id="0">
    <w:p w14:paraId="7513C7B5" w14:textId="77777777" w:rsidR="006B69B3" w:rsidRDefault="006B69B3" w:rsidP="0015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umin variable pro">
    <w:altName w:val="Cambria"/>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varia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284562"/>
      <w:docPartObj>
        <w:docPartGallery w:val="Page Numbers (Bottom of Page)"/>
        <w:docPartUnique/>
      </w:docPartObj>
    </w:sdtPr>
    <w:sdtEndPr/>
    <w:sdtContent>
      <w:p w14:paraId="2930D917" w14:textId="7CD1E794" w:rsidR="00157804" w:rsidRDefault="00157804">
        <w:pPr>
          <w:pStyle w:val="Pieddepage"/>
          <w:jc w:val="center"/>
        </w:pPr>
        <w:r>
          <w:fldChar w:fldCharType="begin"/>
        </w:r>
        <w:r>
          <w:instrText>PAGE   \* MERGEFORMAT</w:instrText>
        </w:r>
        <w:r>
          <w:fldChar w:fldCharType="separate"/>
        </w:r>
        <w:r w:rsidR="00BD28A3">
          <w:rPr>
            <w:noProof/>
          </w:rPr>
          <w:t>3</w:t>
        </w:r>
        <w:r>
          <w:fldChar w:fldCharType="end"/>
        </w:r>
      </w:p>
    </w:sdtContent>
  </w:sdt>
  <w:p w14:paraId="3335440A" w14:textId="77777777" w:rsidR="00157804" w:rsidRDefault="001578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9518" w14:textId="77777777" w:rsidR="006B69B3" w:rsidRDefault="006B69B3" w:rsidP="00157804">
      <w:pPr>
        <w:spacing w:after="0" w:line="240" w:lineRule="auto"/>
      </w:pPr>
      <w:r>
        <w:separator/>
      </w:r>
    </w:p>
  </w:footnote>
  <w:footnote w:type="continuationSeparator" w:id="0">
    <w:p w14:paraId="0042FFB7" w14:textId="77777777" w:rsidR="006B69B3" w:rsidRDefault="006B69B3" w:rsidP="00157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CA"/>
    <w:multiLevelType w:val="hybridMultilevel"/>
    <w:tmpl w:val="D90E983C"/>
    <w:lvl w:ilvl="0" w:tplc="0CD46DB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7297C"/>
    <w:multiLevelType w:val="hybridMultilevel"/>
    <w:tmpl w:val="B2923636"/>
    <w:lvl w:ilvl="0" w:tplc="0248D682">
      <w:numFmt w:val="bullet"/>
      <w:lvlText w:val="-"/>
      <w:lvlJc w:val="left"/>
      <w:pPr>
        <w:ind w:left="408" w:hanging="360"/>
      </w:pPr>
      <w:rPr>
        <w:rFonts w:ascii="Acumin variable pro" w:eastAsiaTheme="minorHAnsi" w:hAnsi="Acumin variable pro"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15:restartNumberingAfterBreak="0">
    <w:nsid w:val="182C17A0"/>
    <w:multiLevelType w:val="hybridMultilevel"/>
    <w:tmpl w:val="7C5C5DB4"/>
    <w:lvl w:ilvl="0" w:tplc="B56093B2">
      <w:start w:val="16"/>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AA1AAB"/>
    <w:multiLevelType w:val="hybridMultilevel"/>
    <w:tmpl w:val="75D4B1CC"/>
    <w:lvl w:ilvl="0" w:tplc="040C0015">
      <w:start w:val="1"/>
      <w:numFmt w:val="upperLetter"/>
      <w:lvlText w:val="%1."/>
      <w:lvlJc w:val="left"/>
      <w:pPr>
        <w:ind w:left="1448" w:hanging="360"/>
      </w:pPr>
      <w:rPr>
        <w:w w:val="100"/>
        <w:sz w:val="22"/>
        <w:szCs w:val="22"/>
        <w:lang w:val="fr-FR" w:eastAsia="en-US" w:bidi="ar-SA"/>
      </w:rPr>
    </w:lvl>
    <w:lvl w:ilvl="1" w:tplc="109EDF66">
      <w:numFmt w:val="bullet"/>
      <w:lvlText w:val="•"/>
      <w:lvlJc w:val="left"/>
      <w:pPr>
        <w:ind w:left="2300" w:hanging="360"/>
      </w:pPr>
      <w:rPr>
        <w:lang w:val="fr-FR" w:eastAsia="en-US" w:bidi="ar-SA"/>
      </w:rPr>
    </w:lvl>
    <w:lvl w:ilvl="2" w:tplc="DF5427C6">
      <w:numFmt w:val="bullet"/>
      <w:lvlText w:val="•"/>
      <w:lvlJc w:val="left"/>
      <w:pPr>
        <w:ind w:left="3160" w:hanging="360"/>
      </w:pPr>
      <w:rPr>
        <w:lang w:val="fr-FR" w:eastAsia="en-US" w:bidi="ar-SA"/>
      </w:rPr>
    </w:lvl>
    <w:lvl w:ilvl="3" w:tplc="5C70C682">
      <w:numFmt w:val="bullet"/>
      <w:lvlText w:val="•"/>
      <w:lvlJc w:val="left"/>
      <w:pPr>
        <w:ind w:left="4020" w:hanging="360"/>
      </w:pPr>
      <w:rPr>
        <w:lang w:val="fr-FR" w:eastAsia="en-US" w:bidi="ar-SA"/>
      </w:rPr>
    </w:lvl>
    <w:lvl w:ilvl="4" w:tplc="14F2DD3A">
      <w:numFmt w:val="bullet"/>
      <w:lvlText w:val="•"/>
      <w:lvlJc w:val="left"/>
      <w:pPr>
        <w:ind w:left="4880" w:hanging="360"/>
      </w:pPr>
      <w:rPr>
        <w:lang w:val="fr-FR" w:eastAsia="en-US" w:bidi="ar-SA"/>
      </w:rPr>
    </w:lvl>
    <w:lvl w:ilvl="5" w:tplc="BA586D50">
      <w:numFmt w:val="bullet"/>
      <w:lvlText w:val="•"/>
      <w:lvlJc w:val="left"/>
      <w:pPr>
        <w:ind w:left="5740" w:hanging="360"/>
      </w:pPr>
      <w:rPr>
        <w:lang w:val="fr-FR" w:eastAsia="en-US" w:bidi="ar-SA"/>
      </w:rPr>
    </w:lvl>
    <w:lvl w:ilvl="6" w:tplc="F43EA700">
      <w:numFmt w:val="bullet"/>
      <w:lvlText w:val="•"/>
      <w:lvlJc w:val="left"/>
      <w:pPr>
        <w:ind w:left="6600" w:hanging="360"/>
      </w:pPr>
      <w:rPr>
        <w:lang w:val="fr-FR" w:eastAsia="en-US" w:bidi="ar-SA"/>
      </w:rPr>
    </w:lvl>
    <w:lvl w:ilvl="7" w:tplc="29E8F794">
      <w:numFmt w:val="bullet"/>
      <w:lvlText w:val="•"/>
      <w:lvlJc w:val="left"/>
      <w:pPr>
        <w:ind w:left="7460" w:hanging="360"/>
      </w:pPr>
      <w:rPr>
        <w:lang w:val="fr-FR" w:eastAsia="en-US" w:bidi="ar-SA"/>
      </w:rPr>
    </w:lvl>
    <w:lvl w:ilvl="8" w:tplc="A6824E44">
      <w:numFmt w:val="bullet"/>
      <w:lvlText w:val="•"/>
      <w:lvlJc w:val="left"/>
      <w:pPr>
        <w:ind w:left="8320" w:hanging="360"/>
      </w:pPr>
      <w:rPr>
        <w:lang w:val="fr-FR" w:eastAsia="en-US" w:bidi="ar-SA"/>
      </w:rPr>
    </w:lvl>
  </w:abstractNum>
  <w:abstractNum w:abstractNumId="4" w15:restartNumberingAfterBreak="0">
    <w:nsid w:val="39773ACB"/>
    <w:multiLevelType w:val="hybridMultilevel"/>
    <w:tmpl w:val="67FEDE16"/>
    <w:lvl w:ilvl="0" w:tplc="91B2F88E">
      <w:numFmt w:val="bullet"/>
      <w:lvlText w:val="-"/>
      <w:lvlJc w:val="left"/>
      <w:pPr>
        <w:ind w:left="1448" w:hanging="360"/>
      </w:pPr>
      <w:rPr>
        <w:rFonts w:ascii="Microsoft Sans Serif" w:eastAsia="Microsoft Sans Serif" w:hAnsi="Microsoft Sans Serif" w:cs="Microsoft Sans Serif" w:hint="default"/>
        <w:w w:val="100"/>
        <w:sz w:val="22"/>
        <w:szCs w:val="22"/>
        <w:lang w:val="fr-FR" w:eastAsia="en-US" w:bidi="ar-SA"/>
      </w:rPr>
    </w:lvl>
    <w:lvl w:ilvl="1" w:tplc="109EDF66">
      <w:numFmt w:val="bullet"/>
      <w:lvlText w:val="•"/>
      <w:lvlJc w:val="left"/>
      <w:pPr>
        <w:ind w:left="2300" w:hanging="360"/>
      </w:pPr>
      <w:rPr>
        <w:lang w:val="fr-FR" w:eastAsia="en-US" w:bidi="ar-SA"/>
      </w:rPr>
    </w:lvl>
    <w:lvl w:ilvl="2" w:tplc="DF5427C6">
      <w:numFmt w:val="bullet"/>
      <w:lvlText w:val="•"/>
      <w:lvlJc w:val="left"/>
      <w:pPr>
        <w:ind w:left="3160" w:hanging="360"/>
      </w:pPr>
      <w:rPr>
        <w:lang w:val="fr-FR" w:eastAsia="en-US" w:bidi="ar-SA"/>
      </w:rPr>
    </w:lvl>
    <w:lvl w:ilvl="3" w:tplc="5C70C682">
      <w:numFmt w:val="bullet"/>
      <w:lvlText w:val="•"/>
      <w:lvlJc w:val="left"/>
      <w:pPr>
        <w:ind w:left="4020" w:hanging="360"/>
      </w:pPr>
      <w:rPr>
        <w:lang w:val="fr-FR" w:eastAsia="en-US" w:bidi="ar-SA"/>
      </w:rPr>
    </w:lvl>
    <w:lvl w:ilvl="4" w:tplc="14F2DD3A">
      <w:numFmt w:val="bullet"/>
      <w:lvlText w:val="•"/>
      <w:lvlJc w:val="left"/>
      <w:pPr>
        <w:ind w:left="4880" w:hanging="360"/>
      </w:pPr>
      <w:rPr>
        <w:lang w:val="fr-FR" w:eastAsia="en-US" w:bidi="ar-SA"/>
      </w:rPr>
    </w:lvl>
    <w:lvl w:ilvl="5" w:tplc="BA586D50">
      <w:numFmt w:val="bullet"/>
      <w:lvlText w:val="•"/>
      <w:lvlJc w:val="left"/>
      <w:pPr>
        <w:ind w:left="5740" w:hanging="360"/>
      </w:pPr>
      <w:rPr>
        <w:lang w:val="fr-FR" w:eastAsia="en-US" w:bidi="ar-SA"/>
      </w:rPr>
    </w:lvl>
    <w:lvl w:ilvl="6" w:tplc="F43EA700">
      <w:numFmt w:val="bullet"/>
      <w:lvlText w:val="•"/>
      <w:lvlJc w:val="left"/>
      <w:pPr>
        <w:ind w:left="6600" w:hanging="360"/>
      </w:pPr>
      <w:rPr>
        <w:lang w:val="fr-FR" w:eastAsia="en-US" w:bidi="ar-SA"/>
      </w:rPr>
    </w:lvl>
    <w:lvl w:ilvl="7" w:tplc="29E8F794">
      <w:numFmt w:val="bullet"/>
      <w:lvlText w:val="•"/>
      <w:lvlJc w:val="left"/>
      <w:pPr>
        <w:ind w:left="7460" w:hanging="360"/>
      </w:pPr>
      <w:rPr>
        <w:lang w:val="fr-FR" w:eastAsia="en-US" w:bidi="ar-SA"/>
      </w:rPr>
    </w:lvl>
    <w:lvl w:ilvl="8" w:tplc="A6824E44">
      <w:numFmt w:val="bullet"/>
      <w:lvlText w:val="•"/>
      <w:lvlJc w:val="left"/>
      <w:pPr>
        <w:ind w:left="8320" w:hanging="360"/>
      </w:pPr>
      <w:rPr>
        <w:lang w:val="fr-FR" w:eastAsia="en-US" w:bidi="ar-SA"/>
      </w:rPr>
    </w:lvl>
  </w:abstractNum>
  <w:abstractNum w:abstractNumId="5" w15:restartNumberingAfterBreak="0">
    <w:nsid w:val="499B7B56"/>
    <w:multiLevelType w:val="multilevel"/>
    <w:tmpl w:val="ED242474"/>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AA40051"/>
    <w:multiLevelType w:val="multilevel"/>
    <w:tmpl w:val="803E281E"/>
    <w:lvl w:ilvl="0">
      <w:start w:val="14"/>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8A55115"/>
    <w:multiLevelType w:val="hybridMultilevel"/>
    <w:tmpl w:val="4342B8C0"/>
    <w:lvl w:ilvl="0" w:tplc="977C0334">
      <w:numFmt w:val="bullet"/>
      <w:lvlText w:val="-"/>
      <w:lvlJc w:val="left"/>
      <w:pPr>
        <w:ind w:left="720" w:hanging="360"/>
      </w:pPr>
      <w:rPr>
        <w:rFonts w:ascii="Acumin variable pro" w:eastAsiaTheme="minorHAnsi" w:hAnsi="Acumin variable pro"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B1581F"/>
    <w:multiLevelType w:val="hybridMultilevel"/>
    <w:tmpl w:val="055874B4"/>
    <w:lvl w:ilvl="0" w:tplc="B276D79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5085888">
    <w:abstractNumId w:val="8"/>
  </w:num>
  <w:num w:numId="2" w16cid:durableId="1256330146">
    <w:abstractNumId w:val="2"/>
  </w:num>
  <w:num w:numId="3" w16cid:durableId="334187790">
    <w:abstractNumId w:val="0"/>
  </w:num>
  <w:num w:numId="4" w16cid:durableId="1636179102">
    <w:abstractNumId w:val="5"/>
  </w:num>
  <w:num w:numId="5" w16cid:durableId="1408381221">
    <w:abstractNumId w:val="6"/>
  </w:num>
  <w:num w:numId="6" w16cid:durableId="142815646">
    <w:abstractNumId w:val="3"/>
    <w:lvlOverride w:ilvl="0">
      <w:startOverride w:val="1"/>
    </w:lvlOverride>
    <w:lvlOverride w:ilvl="1"/>
    <w:lvlOverride w:ilvl="2"/>
    <w:lvlOverride w:ilvl="3"/>
    <w:lvlOverride w:ilvl="4"/>
    <w:lvlOverride w:ilvl="5"/>
    <w:lvlOverride w:ilvl="6"/>
    <w:lvlOverride w:ilvl="7"/>
    <w:lvlOverride w:ilvl="8"/>
  </w:num>
  <w:num w:numId="7" w16cid:durableId="1597782743">
    <w:abstractNumId w:val="4"/>
  </w:num>
  <w:num w:numId="8" w16cid:durableId="424612267">
    <w:abstractNumId w:val="7"/>
  </w:num>
  <w:num w:numId="9" w16cid:durableId="512112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92"/>
    <w:rsid w:val="000220A1"/>
    <w:rsid w:val="000312E9"/>
    <w:rsid w:val="000665C7"/>
    <w:rsid w:val="00070192"/>
    <w:rsid w:val="00086CB2"/>
    <w:rsid w:val="000B12C8"/>
    <w:rsid w:val="000C311B"/>
    <w:rsid w:val="000F52DD"/>
    <w:rsid w:val="000F6E02"/>
    <w:rsid w:val="001202F6"/>
    <w:rsid w:val="00121169"/>
    <w:rsid w:val="0013320D"/>
    <w:rsid w:val="00157804"/>
    <w:rsid w:val="001C34B6"/>
    <w:rsid w:val="001E16F0"/>
    <w:rsid w:val="001F225B"/>
    <w:rsid w:val="001F7922"/>
    <w:rsid w:val="00200333"/>
    <w:rsid w:val="002544A1"/>
    <w:rsid w:val="002707D5"/>
    <w:rsid w:val="00280E77"/>
    <w:rsid w:val="00291314"/>
    <w:rsid w:val="00300996"/>
    <w:rsid w:val="003232F2"/>
    <w:rsid w:val="0035183A"/>
    <w:rsid w:val="00364656"/>
    <w:rsid w:val="003926E6"/>
    <w:rsid w:val="00414FEB"/>
    <w:rsid w:val="00443817"/>
    <w:rsid w:val="00455364"/>
    <w:rsid w:val="004878A8"/>
    <w:rsid w:val="00502124"/>
    <w:rsid w:val="0050299A"/>
    <w:rsid w:val="00531FD4"/>
    <w:rsid w:val="0057221B"/>
    <w:rsid w:val="00584AB5"/>
    <w:rsid w:val="00600F42"/>
    <w:rsid w:val="006513F6"/>
    <w:rsid w:val="00651A26"/>
    <w:rsid w:val="00661D73"/>
    <w:rsid w:val="00682696"/>
    <w:rsid w:val="006A184D"/>
    <w:rsid w:val="006B69B3"/>
    <w:rsid w:val="006E3906"/>
    <w:rsid w:val="006E40D1"/>
    <w:rsid w:val="007514F9"/>
    <w:rsid w:val="00767AD6"/>
    <w:rsid w:val="007B505B"/>
    <w:rsid w:val="007D7593"/>
    <w:rsid w:val="008211FB"/>
    <w:rsid w:val="008268B7"/>
    <w:rsid w:val="00850144"/>
    <w:rsid w:val="0086644B"/>
    <w:rsid w:val="0087741A"/>
    <w:rsid w:val="008A7E06"/>
    <w:rsid w:val="009010DC"/>
    <w:rsid w:val="0091605F"/>
    <w:rsid w:val="00924CB4"/>
    <w:rsid w:val="00940CD1"/>
    <w:rsid w:val="0094102D"/>
    <w:rsid w:val="009B79C0"/>
    <w:rsid w:val="009D7FD7"/>
    <w:rsid w:val="00A135DF"/>
    <w:rsid w:val="00A370E7"/>
    <w:rsid w:val="00A527FF"/>
    <w:rsid w:val="00A54125"/>
    <w:rsid w:val="00A57694"/>
    <w:rsid w:val="00A623D4"/>
    <w:rsid w:val="00A7123D"/>
    <w:rsid w:val="00A7164F"/>
    <w:rsid w:val="00A76829"/>
    <w:rsid w:val="00A8170E"/>
    <w:rsid w:val="00AB594D"/>
    <w:rsid w:val="00AC0B79"/>
    <w:rsid w:val="00B25D59"/>
    <w:rsid w:val="00B2668C"/>
    <w:rsid w:val="00B66454"/>
    <w:rsid w:val="00B729C6"/>
    <w:rsid w:val="00B9588B"/>
    <w:rsid w:val="00B95C34"/>
    <w:rsid w:val="00BD28A3"/>
    <w:rsid w:val="00BE4C43"/>
    <w:rsid w:val="00C25651"/>
    <w:rsid w:val="00C51D15"/>
    <w:rsid w:val="00C952D3"/>
    <w:rsid w:val="00CD1599"/>
    <w:rsid w:val="00D61FC4"/>
    <w:rsid w:val="00D73418"/>
    <w:rsid w:val="00D93DB4"/>
    <w:rsid w:val="00DA4410"/>
    <w:rsid w:val="00DC03CC"/>
    <w:rsid w:val="00E22664"/>
    <w:rsid w:val="00E32176"/>
    <w:rsid w:val="00E445F6"/>
    <w:rsid w:val="00E637E4"/>
    <w:rsid w:val="00E72904"/>
    <w:rsid w:val="00E74FFE"/>
    <w:rsid w:val="00E94CE3"/>
    <w:rsid w:val="00EC69BB"/>
    <w:rsid w:val="00ED1FCE"/>
    <w:rsid w:val="00EE6D83"/>
    <w:rsid w:val="00F1369C"/>
    <w:rsid w:val="00F73CC2"/>
    <w:rsid w:val="00FA572B"/>
    <w:rsid w:val="00FA7F48"/>
    <w:rsid w:val="00FC40B1"/>
    <w:rsid w:val="00FC6424"/>
    <w:rsid w:val="00FC6E1C"/>
    <w:rsid w:val="00FE3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4C88"/>
  <w15:chartTrackingRefBased/>
  <w15:docId w15:val="{87A13641-DF45-4CC5-AE57-5B7B74BA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1"/>
    <w:qFormat/>
    <w:rsid w:val="007514F9"/>
    <w:pPr>
      <w:keepNext/>
      <w:widowControl w:val="0"/>
      <w:autoSpaceDE w:val="0"/>
      <w:autoSpaceDN w:val="0"/>
      <w:spacing w:after="120" w:line="240" w:lineRule="auto"/>
      <w:ind w:left="380"/>
      <w:outlineLvl w:val="0"/>
    </w:pPr>
    <w:rPr>
      <w:rFonts w:ascii="Arial" w:eastAsia="Arial" w:hAnsi="Arial" w:cs="Arial"/>
      <w:b/>
      <w:bCs/>
      <w:u w:val="single" w:color="000000"/>
    </w:rPr>
  </w:style>
  <w:style w:type="paragraph" w:styleId="Titre2">
    <w:name w:val="heading 2"/>
    <w:basedOn w:val="Normal"/>
    <w:next w:val="Normal"/>
    <w:link w:val="Titre2Car"/>
    <w:uiPriority w:val="9"/>
    <w:semiHidden/>
    <w:unhideWhenUsed/>
    <w:qFormat/>
    <w:rsid w:val="00584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ademeGrilledutableau1">
    <w:name w:val="ademe Grille du tableau1"/>
    <w:basedOn w:val="TableauNormal"/>
    <w:next w:val="Grilledutableau"/>
    <w:uiPriority w:val="59"/>
    <w:rsid w:val="00FE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styleId="Grilledutableau">
    <w:name w:val="Table Grid"/>
    <w:basedOn w:val="TableauNormal"/>
    <w:uiPriority w:val="39"/>
    <w:rsid w:val="00FE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56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5651"/>
    <w:rPr>
      <w:b/>
      <w:bCs/>
    </w:rPr>
  </w:style>
  <w:style w:type="paragraph" w:styleId="Paragraphedeliste">
    <w:name w:val="List Paragraph"/>
    <w:basedOn w:val="Normal"/>
    <w:uiPriority w:val="1"/>
    <w:qFormat/>
    <w:rsid w:val="0086644B"/>
    <w:pPr>
      <w:ind w:left="720"/>
      <w:contextualSpacing/>
    </w:pPr>
  </w:style>
  <w:style w:type="character" w:styleId="Lienhypertexte">
    <w:name w:val="Hyperlink"/>
    <w:basedOn w:val="Policepardfaut"/>
    <w:uiPriority w:val="99"/>
    <w:unhideWhenUsed/>
    <w:rsid w:val="006E3906"/>
    <w:rPr>
      <w:color w:val="0563C1" w:themeColor="hyperlink"/>
      <w:u w:val="single"/>
    </w:rPr>
  </w:style>
  <w:style w:type="paragraph" w:styleId="Rvision">
    <w:name w:val="Revision"/>
    <w:hidden/>
    <w:uiPriority w:val="99"/>
    <w:semiHidden/>
    <w:rsid w:val="00B25D59"/>
    <w:pPr>
      <w:spacing w:after="0" w:line="240" w:lineRule="auto"/>
    </w:pPr>
  </w:style>
  <w:style w:type="paragraph" w:styleId="Textedebulles">
    <w:name w:val="Balloon Text"/>
    <w:basedOn w:val="Normal"/>
    <w:link w:val="TextedebullesCar"/>
    <w:uiPriority w:val="99"/>
    <w:semiHidden/>
    <w:unhideWhenUsed/>
    <w:rsid w:val="003646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4656"/>
    <w:rPr>
      <w:rFonts w:ascii="Segoe UI" w:hAnsi="Segoe UI" w:cs="Segoe UI"/>
      <w:sz w:val="18"/>
      <w:szCs w:val="18"/>
    </w:rPr>
  </w:style>
  <w:style w:type="character" w:styleId="Marquedecommentaire">
    <w:name w:val="annotation reference"/>
    <w:basedOn w:val="Policepardfaut"/>
    <w:uiPriority w:val="99"/>
    <w:semiHidden/>
    <w:unhideWhenUsed/>
    <w:rsid w:val="00364656"/>
    <w:rPr>
      <w:sz w:val="16"/>
      <w:szCs w:val="16"/>
    </w:rPr>
  </w:style>
  <w:style w:type="paragraph" w:styleId="Commentaire">
    <w:name w:val="annotation text"/>
    <w:basedOn w:val="Normal"/>
    <w:link w:val="CommentaireCar"/>
    <w:uiPriority w:val="99"/>
    <w:unhideWhenUsed/>
    <w:rsid w:val="00364656"/>
    <w:pPr>
      <w:spacing w:line="240" w:lineRule="auto"/>
    </w:pPr>
    <w:rPr>
      <w:sz w:val="20"/>
      <w:szCs w:val="20"/>
    </w:rPr>
  </w:style>
  <w:style w:type="character" w:customStyle="1" w:styleId="CommentaireCar">
    <w:name w:val="Commentaire Car"/>
    <w:basedOn w:val="Policepardfaut"/>
    <w:link w:val="Commentaire"/>
    <w:uiPriority w:val="99"/>
    <w:rsid w:val="00364656"/>
    <w:rPr>
      <w:sz w:val="20"/>
      <w:szCs w:val="20"/>
    </w:rPr>
  </w:style>
  <w:style w:type="paragraph" w:styleId="Objetducommentaire">
    <w:name w:val="annotation subject"/>
    <w:basedOn w:val="Commentaire"/>
    <w:next w:val="Commentaire"/>
    <w:link w:val="ObjetducommentaireCar"/>
    <w:uiPriority w:val="99"/>
    <w:semiHidden/>
    <w:unhideWhenUsed/>
    <w:rsid w:val="00364656"/>
    <w:rPr>
      <w:b/>
      <w:bCs/>
    </w:rPr>
  </w:style>
  <w:style w:type="character" w:customStyle="1" w:styleId="ObjetducommentaireCar">
    <w:name w:val="Objet du commentaire Car"/>
    <w:basedOn w:val="CommentaireCar"/>
    <w:link w:val="Objetducommentaire"/>
    <w:uiPriority w:val="99"/>
    <w:semiHidden/>
    <w:rsid w:val="00364656"/>
    <w:rPr>
      <w:b/>
      <w:bCs/>
      <w:sz w:val="20"/>
      <w:szCs w:val="20"/>
    </w:rPr>
  </w:style>
  <w:style w:type="character" w:customStyle="1" w:styleId="Titre1Car">
    <w:name w:val="Titre 1 Car"/>
    <w:basedOn w:val="Policepardfaut"/>
    <w:link w:val="Titre1"/>
    <w:uiPriority w:val="1"/>
    <w:rsid w:val="007514F9"/>
    <w:rPr>
      <w:rFonts w:ascii="Arial" w:eastAsia="Arial" w:hAnsi="Arial" w:cs="Arial"/>
      <w:b/>
      <w:bCs/>
      <w:u w:val="single" w:color="000000"/>
    </w:rPr>
  </w:style>
  <w:style w:type="paragraph" w:styleId="Corpsdetexte">
    <w:name w:val="Body Text"/>
    <w:basedOn w:val="Normal"/>
    <w:link w:val="CorpsdetexteCar"/>
    <w:uiPriority w:val="1"/>
    <w:qFormat/>
    <w:rsid w:val="007514F9"/>
    <w:pPr>
      <w:widowControl w:val="0"/>
      <w:autoSpaceDE w:val="0"/>
      <w:autoSpaceDN w:val="0"/>
      <w:spacing w:after="0" w:line="240" w:lineRule="auto"/>
    </w:pPr>
    <w:rPr>
      <w:rFonts w:ascii="Calibri" w:eastAsia="Microsoft Sans Serif" w:hAnsi="Calibri" w:cs="Microsoft Sans Serif"/>
    </w:rPr>
  </w:style>
  <w:style w:type="character" w:customStyle="1" w:styleId="CorpsdetexteCar">
    <w:name w:val="Corps de texte Car"/>
    <w:basedOn w:val="Policepardfaut"/>
    <w:link w:val="Corpsdetexte"/>
    <w:uiPriority w:val="1"/>
    <w:rsid w:val="007514F9"/>
    <w:rPr>
      <w:rFonts w:ascii="Calibri" w:eastAsia="Microsoft Sans Serif" w:hAnsi="Calibri" w:cs="Microsoft Sans Serif"/>
    </w:rPr>
  </w:style>
  <w:style w:type="character" w:customStyle="1" w:styleId="Titre2Car">
    <w:name w:val="Titre 2 Car"/>
    <w:basedOn w:val="Policepardfaut"/>
    <w:link w:val="Titre2"/>
    <w:uiPriority w:val="9"/>
    <w:semiHidden/>
    <w:rsid w:val="00584AB5"/>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157804"/>
    <w:pPr>
      <w:tabs>
        <w:tab w:val="center" w:pos="4536"/>
        <w:tab w:val="right" w:pos="9072"/>
      </w:tabs>
      <w:spacing w:after="0" w:line="240" w:lineRule="auto"/>
    </w:pPr>
  </w:style>
  <w:style w:type="character" w:customStyle="1" w:styleId="En-tteCar">
    <w:name w:val="En-tête Car"/>
    <w:basedOn w:val="Policepardfaut"/>
    <w:link w:val="En-tte"/>
    <w:uiPriority w:val="99"/>
    <w:rsid w:val="00157804"/>
  </w:style>
  <w:style w:type="paragraph" w:styleId="Pieddepage">
    <w:name w:val="footer"/>
    <w:basedOn w:val="Normal"/>
    <w:link w:val="PieddepageCar"/>
    <w:uiPriority w:val="99"/>
    <w:unhideWhenUsed/>
    <w:rsid w:val="001578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3960">
      <w:bodyDiv w:val="1"/>
      <w:marLeft w:val="0"/>
      <w:marRight w:val="0"/>
      <w:marTop w:val="0"/>
      <w:marBottom w:val="0"/>
      <w:divBdr>
        <w:top w:val="none" w:sz="0" w:space="0" w:color="auto"/>
        <w:left w:val="none" w:sz="0" w:space="0" w:color="auto"/>
        <w:bottom w:val="none" w:sz="0" w:space="0" w:color="auto"/>
        <w:right w:val="none" w:sz="0" w:space="0" w:color="auto"/>
      </w:divBdr>
    </w:div>
    <w:div w:id="1017149059">
      <w:bodyDiv w:val="1"/>
      <w:marLeft w:val="0"/>
      <w:marRight w:val="0"/>
      <w:marTop w:val="0"/>
      <w:marBottom w:val="0"/>
      <w:divBdr>
        <w:top w:val="none" w:sz="0" w:space="0" w:color="auto"/>
        <w:left w:val="none" w:sz="0" w:space="0" w:color="auto"/>
        <w:bottom w:val="none" w:sz="0" w:space="0" w:color="auto"/>
        <w:right w:val="none" w:sz="0" w:space="0" w:color="auto"/>
      </w:divBdr>
    </w:div>
    <w:div w:id="1472862106">
      <w:bodyDiv w:val="1"/>
      <w:marLeft w:val="0"/>
      <w:marRight w:val="0"/>
      <w:marTop w:val="0"/>
      <w:marBottom w:val="0"/>
      <w:divBdr>
        <w:top w:val="none" w:sz="0" w:space="0" w:color="auto"/>
        <w:left w:val="none" w:sz="0" w:space="0" w:color="auto"/>
        <w:bottom w:val="none" w:sz="0" w:space="0" w:color="auto"/>
        <w:right w:val="none" w:sz="0" w:space="0" w:color="auto"/>
      </w:divBdr>
    </w:div>
    <w:div w:id="16310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epic-montsaintmichel.fr/wp-content/uploads/2022/04/mont-saint-michel_EPN_logotype-bleu.p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216CEDE8361F428F1399472DD1BD52" ma:contentTypeVersion="3" ma:contentTypeDescription="Crée un document." ma:contentTypeScope="" ma:versionID="1b9e54aa720683a3eea0ed33ca50bf27">
  <xsd:schema xmlns:xsd="http://www.w3.org/2001/XMLSchema" xmlns:xs="http://www.w3.org/2001/XMLSchema" xmlns:p="http://schemas.microsoft.com/office/2006/metadata/properties" xmlns:ns3="2e37732a-5d1c-463d-89a5-976919fb7974" targetNamespace="http://schemas.microsoft.com/office/2006/metadata/properties" ma:root="true" ma:fieldsID="d73ecc86c3b80169b1aff6ecb6146352" ns3:_="">
    <xsd:import namespace="2e37732a-5d1c-463d-89a5-976919fb7974"/>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732a-5d1c-463d-89a5-976919fb7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e37732a-5d1c-463d-89a5-976919fb797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53652-8F2B-4CCF-8DA0-9D092212C22F}">
  <ds:schemaRefs>
    <ds:schemaRef ds:uri="http://schemas.openxmlformats.org/officeDocument/2006/bibliography"/>
  </ds:schemaRefs>
</ds:datastoreItem>
</file>

<file path=customXml/itemProps2.xml><?xml version="1.0" encoding="utf-8"?>
<ds:datastoreItem xmlns:ds="http://schemas.openxmlformats.org/officeDocument/2006/customXml" ds:itemID="{B925538C-929F-41C9-B3F2-3DB7CE6F8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732a-5d1c-463d-89a5-976919fb7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A90A6-8BD8-4FBF-8111-42992E3CE3AC}">
  <ds:schemaRefs>
    <ds:schemaRef ds:uri="http://schemas.microsoft.com/office/2006/metadata/properties"/>
    <ds:schemaRef ds:uri="http://schemas.microsoft.com/office/infopath/2007/PartnerControls"/>
    <ds:schemaRef ds:uri="2e37732a-5d1c-463d-89a5-976919fb7974"/>
  </ds:schemaRefs>
</ds:datastoreItem>
</file>

<file path=customXml/itemProps4.xml><?xml version="1.0" encoding="utf-8"?>
<ds:datastoreItem xmlns:ds="http://schemas.openxmlformats.org/officeDocument/2006/customXml" ds:itemID="{4566EE68-1A5D-46A7-8C70-3DE38892E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1870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Fossey</dc:creator>
  <cp:keywords/>
  <dc:description/>
  <cp:lastModifiedBy>Sylvaine Thiery</cp:lastModifiedBy>
  <cp:revision>4</cp:revision>
  <dcterms:created xsi:type="dcterms:W3CDTF">2023-07-26T08:04:00Z</dcterms:created>
  <dcterms:modified xsi:type="dcterms:W3CDTF">2023-07-26T08:06:00Z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0x010100F6216CEDE8361F428F1399472DD1BD52</vt:lpwstr>
  </property>
</Properties>
</file>